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C744" w14:textId="62A6A6DD" w:rsidR="00446506" w:rsidRDefault="00446506" w:rsidP="00446506">
      <w:pPr>
        <w:jc w:val="center"/>
      </w:pPr>
      <w:r>
        <w:t xml:space="preserve">This document has been prepared as part of the implementation project of Legal Pathways to Deep Decarbonization (Michael B. Gerrard and John C. </w:t>
      </w:r>
      <w:proofErr w:type="spellStart"/>
      <w:r>
        <w:t>Dernbach</w:t>
      </w:r>
      <w:proofErr w:type="spellEnd"/>
      <w:r>
        <w:t xml:space="preserve">, eds. Environmental Law Institute [2019]) (LPDD). For background information on the project, see </w:t>
      </w:r>
      <w:hyperlink r:id="rId6" w:history="1">
        <w:r w:rsidRPr="00106750">
          <w:rPr>
            <w:rStyle w:val="Hyperlink"/>
          </w:rPr>
          <w:t>https://lpdd.org</w:t>
        </w:r>
      </w:hyperlink>
    </w:p>
    <w:p w14:paraId="22E5BD94" w14:textId="6D557A24" w:rsidR="00446506" w:rsidRDefault="00446506" w:rsidP="00CF05F4"/>
    <w:p w14:paraId="4981FED1" w14:textId="4CD85946" w:rsidR="00446506" w:rsidRPr="00446506" w:rsidRDefault="00446506" w:rsidP="00446506">
      <w:pPr>
        <w:jc w:val="center"/>
        <w:rPr>
          <w:b/>
          <w:bCs/>
        </w:rPr>
      </w:pPr>
      <w:r w:rsidRPr="00446506">
        <w:rPr>
          <w:b/>
          <w:bCs/>
        </w:rPr>
        <w:t xml:space="preserve">Recommendation — Provide renewables </w:t>
      </w:r>
      <w:proofErr w:type="gramStart"/>
      <w:r w:rsidRPr="00446506">
        <w:rPr>
          <w:b/>
          <w:bCs/>
        </w:rPr>
        <w:t>developers</w:t>
      </w:r>
      <w:proofErr w:type="gramEnd"/>
      <w:r w:rsidRPr="00446506">
        <w:rPr>
          <w:b/>
          <w:bCs/>
        </w:rPr>
        <w:t xml:space="preserve"> an exemption from CERCLA liability if they build on contaminated land and do not disturb the sites more than necessary.</w:t>
      </w:r>
    </w:p>
    <w:p w14:paraId="2416FA84" w14:textId="77777777" w:rsidR="00446506" w:rsidRDefault="00446506" w:rsidP="00CF05F4">
      <w:pPr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0F3A08EE" w14:textId="3AE6F641" w:rsidR="00024BF6" w:rsidRPr="00024BF6" w:rsidRDefault="00024BF6" w:rsidP="00CF05F4">
      <w:pPr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SEC. __. </w:t>
      </w:r>
      <w:r w:rsidR="00A118FF" w:rsidRPr="00A118FF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UTILITY-SCALE </w:t>
      </w:r>
      <w:r w:rsidRPr="00024BF6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WIND AND SOLAR </w:t>
      </w:r>
      <w:r w:rsidR="005553F9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GENERATION</w:t>
      </w:r>
      <w:r w:rsidRPr="00024BF6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AT BROWNFIELDS SITES. </w:t>
      </w:r>
    </w:p>
    <w:p w14:paraId="25FADFCA" w14:textId="77777777" w:rsidR="00446506" w:rsidRDefault="00446506" w:rsidP="00CF05F4">
      <w:pPr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0753D3F" w14:textId="2E5C4CCB" w:rsidR="00024BF6" w:rsidRPr="00024BF6" w:rsidRDefault="00024BF6" w:rsidP="00CF05F4">
      <w:pPr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(a) </w:t>
      </w:r>
      <w:proofErr w:type="gram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DEFINITIONS.—</w:t>
      </w:r>
      <w:proofErr w:type="gram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Section 101 of the Comprehensive Environmental Response, Compensation, and Liability Act (42 U.S.C. 9601) is amended—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br/>
        <w:t xml:space="preserve">(1) in paragraph (41)— </w:t>
      </w:r>
    </w:p>
    <w:p w14:paraId="6CBB68DC" w14:textId="6289C7EA" w:rsidR="00024BF6" w:rsidRPr="00024BF6" w:rsidRDefault="00024BF6" w:rsidP="00446506">
      <w:pPr>
        <w:ind w:left="720"/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(A) in clause (41)(B)(</w:t>
      </w:r>
      <w:proofErr w:type="spell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proofErr w:type="spell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), by striking “or” after the semicolon at the end;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br/>
        <w:t>(B) in clause (41)(B)(ii), by striking the period at the end and inserting “; or”; and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br/>
        <w:t>(C) by adding at the end the following new clause: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br/>
        <w:t>“(iii) notwithstanding the exclusions provided in subparagraph (C)(</w:t>
      </w:r>
      <w:proofErr w:type="spell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proofErr w:type="spell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), </w:t>
      </w:r>
      <w:r w:rsidR="000B13E6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utility-scale 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wind and solar brownfields sites as defined in section 9601(43) of this title.”; and </w:t>
      </w:r>
    </w:p>
    <w:p w14:paraId="46AB7C45" w14:textId="3BCB4EAA" w:rsidR="00446506" w:rsidRDefault="00024BF6" w:rsidP="00446506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24BF6">
        <w:rPr>
          <w:rFonts w:ascii="Calibri" w:hAnsi="Calibri" w:cs="Calibri"/>
          <w:sz w:val="22"/>
          <w:szCs w:val="22"/>
        </w:rPr>
        <w:t xml:space="preserve">(2) by adding at the </w:t>
      </w:r>
      <w:proofErr w:type="gramStart"/>
      <w:r w:rsidRPr="00024BF6">
        <w:rPr>
          <w:rFonts w:ascii="Calibri" w:hAnsi="Calibri" w:cs="Calibri"/>
          <w:sz w:val="22"/>
          <w:szCs w:val="22"/>
        </w:rPr>
        <w:t>end</w:t>
      </w:r>
      <w:proofErr w:type="gramEnd"/>
      <w:r w:rsidRPr="00024BF6">
        <w:rPr>
          <w:rFonts w:ascii="Calibri" w:hAnsi="Calibri" w:cs="Calibri"/>
          <w:sz w:val="22"/>
          <w:szCs w:val="22"/>
        </w:rPr>
        <w:t xml:space="preserve"> the following new paragraphs:</w:t>
      </w:r>
    </w:p>
    <w:p w14:paraId="3E65A74E" w14:textId="24680C45" w:rsidR="00B83D94" w:rsidRDefault="00024BF6" w:rsidP="00446506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Calibri" w:hAnsi="Calibri" w:cs="Calibri"/>
          <w:sz w:val="22"/>
          <w:szCs w:val="22"/>
        </w:rPr>
      </w:pPr>
      <w:r w:rsidRPr="00024BF6">
        <w:rPr>
          <w:rFonts w:ascii="Calibri" w:hAnsi="Calibri" w:cs="Calibri"/>
          <w:sz w:val="22"/>
          <w:szCs w:val="22"/>
        </w:rPr>
        <w:t>“(42) The term “</w:t>
      </w:r>
      <w:r w:rsidR="002E08CE" w:rsidRPr="00024BF6">
        <w:rPr>
          <w:rFonts w:ascii="Calibri" w:hAnsi="Calibri" w:cs="Calibri"/>
          <w:sz w:val="22"/>
          <w:szCs w:val="22"/>
        </w:rPr>
        <w:t xml:space="preserve">utility-scale </w:t>
      </w:r>
      <w:r w:rsidRPr="00024BF6">
        <w:rPr>
          <w:rFonts w:ascii="Calibri" w:hAnsi="Calibri" w:cs="Calibri"/>
          <w:sz w:val="22"/>
          <w:szCs w:val="22"/>
        </w:rPr>
        <w:t xml:space="preserve">wind and solar energy </w:t>
      </w:r>
      <w:r w:rsidR="005553F9">
        <w:rPr>
          <w:rFonts w:ascii="Calibri" w:hAnsi="Calibri" w:cs="Calibri"/>
          <w:sz w:val="22"/>
          <w:szCs w:val="22"/>
        </w:rPr>
        <w:t>generator</w:t>
      </w:r>
      <w:r w:rsidRPr="00024BF6">
        <w:rPr>
          <w:rFonts w:ascii="Calibri" w:hAnsi="Calibri" w:cs="Calibri"/>
          <w:sz w:val="22"/>
          <w:szCs w:val="22"/>
        </w:rPr>
        <w:t>” means</w:t>
      </w:r>
      <w:r w:rsidR="00B83D94">
        <w:rPr>
          <w:rFonts w:ascii="Calibri" w:hAnsi="Calibri" w:cs="Calibri"/>
          <w:sz w:val="22"/>
          <w:szCs w:val="22"/>
        </w:rPr>
        <w:t xml:space="preserve"> </w:t>
      </w:r>
      <w:r w:rsidR="00B83D94" w:rsidRPr="00B83D94">
        <w:rPr>
          <w:rFonts w:ascii="Calibri" w:hAnsi="Calibri" w:cs="Calibri"/>
          <w:sz w:val="22"/>
          <w:szCs w:val="22"/>
        </w:rPr>
        <w:t>with respect to a facility—</w:t>
      </w:r>
    </w:p>
    <w:p w14:paraId="3BD2AAE1" w14:textId="79D054D1" w:rsidR="00B83D94" w:rsidRPr="00B83D94" w:rsidRDefault="00B83D94" w:rsidP="00446506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Calibri" w:hAnsi="Calibri" w:cs="Calibri"/>
          <w:sz w:val="22"/>
          <w:szCs w:val="22"/>
        </w:rPr>
      </w:pPr>
      <w:r w:rsidRPr="00B83D94"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>A</w:t>
      </w:r>
      <w:r w:rsidRPr="00B83D94">
        <w:rPr>
          <w:rFonts w:ascii="Calibri" w:hAnsi="Calibri" w:cs="Calibri"/>
          <w:sz w:val="22"/>
          <w:szCs w:val="22"/>
        </w:rPr>
        <w:t>) a person who—</w:t>
      </w:r>
    </w:p>
    <w:p w14:paraId="1BF24DBC" w14:textId="5870F60B" w:rsidR="00B83D94" w:rsidRPr="00B83D94" w:rsidRDefault="00B83D94" w:rsidP="00446506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sz w:val="22"/>
          <w:szCs w:val="22"/>
        </w:rPr>
      </w:pPr>
      <w:r w:rsidRPr="00B83D94">
        <w:rPr>
          <w:rFonts w:ascii="Calibri" w:hAnsi="Calibri" w:cs="Calibri"/>
          <w:sz w:val="22"/>
          <w:szCs w:val="22"/>
        </w:rPr>
        <w:t>(</w:t>
      </w:r>
      <w:proofErr w:type="spellStart"/>
      <w:r w:rsidR="00AD587C">
        <w:rPr>
          <w:rFonts w:ascii="Calibri" w:hAnsi="Calibri" w:cs="Calibri"/>
          <w:sz w:val="22"/>
          <w:szCs w:val="22"/>
        </w:rPr>
        <w:t>i</w:t>
      </w:r>
      <w:proofErr w:type="spellEnd"/>
      <w:r w:rsidRPr="00B83D94">
        <w:rPr>
          <w:rFonts w:ascii="Calibri" w:hAnsi="Calibri" w:cs="Calibri"/>
          <w:sz w:val="22"/>
          <w:szCs w:val="22"/>
        </w:rPr>
        <w:t xml:space="preserve">) acquires ownership of the </w:t>
      </w:r>
      <w:r w:rsidR="006459E8" w:rsidRPr="00024BF6">
        <w:rPr>
          <w:rFonts w:ascii="Calibri" w:hAnsi="Calibri" w:cs="Calibri"/>
          <w:sz w:val="22"/>
          <w:szCs w:val="22"/>
        </w:rPr>
        <w:t>utility-scale wind and solar brownfields site</w:t>
      </w:r>
      <w:r w:rsidRPr="00B83D94">
        <w:rPr>
          <w:rFonts w:ascii="Calibri" w:hAnsi="Calibri" w:cs="Calibri"/>
          <w:sz w:val="22"/>
          <w:szCs w:val="22"/>
        </w:rPr>
        <w:t>; and</w:t>
      </w:r>
    </w:p>
    <w:p w14:paraId="1277D96E" w14:textId="53B56CBB" w:rsidR="00B83D94" w:rsidRPr="00027D7C" w:rsidRDefault="00B83D94" w:rsidP="00446506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Calibri" w:hAnsi="Calibri" w:cs="Calibri"/>
          <w:sz w:val="22"/>
          <w:szCs w:val="22"/>
        </w:rPr>
      </w:pPr>
      <w:r w:rsidRPr="00B83D94">
        <w:rPr>
          <w:rFonts w:ascii="Calibri" w:hAnsi="Calibri" w:cs="Calibri"/>
          <w:sz w:val="22"/>
          <w:szCs w:val="22"/>
        </w:rPr>
        <w:t>(</w:t>
      </w:r>
      <w:r w:rsidR="00AD587C">
        <w:rPr>
          <w:rFonts w:ascii="Calibri" w:hAnsi="Calibri" w:cs="Calibri"/>
          <w:sz w:val="22"/>
          <w:szCs w:val="22"/>
        </w:rPr>
        <w:t>ii</w:t>
      </w:r>
      <w:r w:rsidRPr="00B83D94">
        <w:rPr>
          <w:rFonts w:ascii="Calibri" w:hAnsi="Calibri" w:cs="Calibri"/>
          <w:sz w:val="22"/>
          <w:szCs w:val="22"/>
        </w:rPr>
        <w:t>) establishes by a preponderance of the evidence each of the criteria described in clauses (</w:t>
      </w:r>
      <w:proofErr w:type="spellStart"/>
      <w:r w:rsidRPr="00B83D94">
        <w:rPr>
          <w:rFonts w:ascii="Calibri" w:hAnsi="Calibri" w:cs="Calibri"/>
          <w:sz w:val="22"/>
          <w:szCs w:val="22"/>
        </w:rPr>
        <w:t>i</w:t>
      </w:r>
      <w:proofErr w:type="spellEnd"/>
      <w:r w:rsidRPr="00B83D94">
        <w:rPr>
          <w:rFonts w:ascii="Calibri" w:hAnsi="Calibri" w:cs="Calibri"/>
          <w:sz w:val="22"/>
          <w:szCs w:val="22"/>
        </w:rPr>
        <w:t xml:space="preserve">) through </w:t>
      </w:r>
      <w:r w:rsidRPr="00027D7C">
        <w:rPr>
          <w:rFonts w:ascii="Calibri" w:hAnsi="Calibri" w:cs="Calibri"/>
          <w:sz w:val="22"/>
          <w:szCs w:val="22"/>
        </w:rPr>
        <w:t>(viii) of subparagraph (B)</w:t>
      </w:r>
      <w:r w:rsidR="00325F5F" w:rsidRPr="00027D7C">
        <w:rPr>
          <w:rFonts w:ascii="Calibri" w:hAnsi="Calibri" w:cs="Calibri"/>
          <w:sz w:val="22"/>
          <w:szCs w:val="22"/>
        </w:rPr>
        <w:t xml:space="preserve"> of paragraph 40</w:t>
      </w:r>
      <w:r w:rsidRPr="00027D7C">
        <w:rPr>
          <w:rFonts w:ascii="Calibri" w:hAnsi="Calibri" w:cs="Calibri"/>
          <w:sz w:val="22"/>
          <w:szCs w:val="22"/>
        </w:rPr>
        <w:t>; and</w:t>
      </w:r>
    </w:p>
    <w:p w14:paraId="5B5E9802" w14:textId="276519E4" w:rsidR="00AD587C" w:rsidRPr="00027D7C" w:rsidRDefault="00AD587C" w:rsidP="00446506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</w:t>
      </w:r>
      <w:r w:rsidR="006459E8" w:rsidRPr="00027D7C">
        <w:rPr>
          <w:rFonts w:ascii="Calibri" w:hAnsi="Calibri" w:cs="Calibri"/>
          <w:sz w:val="22"/>
          <w:szCs w:val="22"/>
        </w:rPr>
        <w:t>B</w:t>
      </w:r>
      <w:r w:rsidRPr="00027D7C">
        <w:rPr>
          <w:rFonts w:ascii="Calibri" w:hAnsi="Calibri" w:cs="Calibri"/>
          <w:sz w:val="22"/>
          <w:szCs w:val="22"/>
        </w:rPr>
        <w:t>) a person—</w:t>
      </w:r>
    </w:p>
    <w:p w14:paraId="23D2C4DF" w14:textId="32A04390" w:rsidR="00B83D94" w:rsidRPr="00027D7C" w:rsidRDefault="00AD587C" w:rsidP="00446506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</w:t>
      </w:r>
      <w:proofErr w:type="spellStart"/>
      <w:r w:rsidR="006459E8" w:rsidRPr="00027D7C">
        <w:rPr>
          <w:rFonts w:ascii="Calibri" w:hAnsi="Calibri" w:cs="Calibri"/>
          <w:sz w:val="22"/>
          <w:szCs w:val="22"/>
        </w:rPr>
        <w:t>i</w:t>
      </w:r>
      <w:proofErr w:type="spellEnd"/>
      <w:r w:rsidRPr="00027D7C">
        <w:rPr>
          <w:rFonts w:ascii="Calibri" w:hAnsi="Calibri" w:cs="Calibri"/>
          <w:sz w:val="22"/>
          <w:szCs w:val="22"/>
        </w:rPr>
        <w:t xml:space="preserve">) who acquires a leasehold interest in </w:t>
      </w:r>
      <w:r w:rsidR="006459E8" w:rsidRPr="00027D7C">
        <w:rPr>
          <w:rFonts w:ascii="Calibri" w:hAnsi="Calibri" w:cs="Calibri"/>
          <w:sz w:val="22"/>
          <w:szCs w:val="22"/>
        </w:rPr>
        <w:t xml:space="preserve">the </w:t>
      </w:r>
      <w:r w:rsidR="006459E8" w:rsidRPr="00024BF6">
        <w:rPr>
          <w:rFonts w:ascii="Calibri" w:hAnsi="Calibri" w:cs="Calibri"/>
          <w:sz w:val="22"/>
          <w:szCs w:val="22"/>
        </w:rPr>
        <w:t>utility-scale wind and solar brownfields site</w:t>
      </w:r>
      <w:r w:rsidRPr="00027D7C">
        <w:rPr>
          <w:rFonts w:ascii="Calibri" w:hAnsi="Calibri" w:cs="Calibri"/>
          <w:sz w:val="22"/>
          <w:szCs w:val="22"/>
        </w:rPr>
        <w:t>; and</w:t>
      </w:r>
    </w:p>
    <w:p w14:paraId="16E784C9" w14:textId="5B6E4035" w:rsidR="006459E8" w:rsidRPr="00027D7C" w:rsidRDefault="006459E8" w:rsidP="00446506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(ii) who establishes by a preponderance of the evidence that the leasehold interest is not designed to avoid liability under this chapter by any person; and</w:t>
      </w:r>
    </w:p>
    <w:p w14:paraId="4ADDD927" w14:textId="42B3AB56" w:rsidR="006459E8" w:rsidRPr="00027D7C" w:rsidRDefault="006459E8" w:rsidP="00446506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(iii) with respect to whom any of the following conditions apply:</w:t>
      </w:r>
    </w:p>
    <w:p w14:paraId="3BE0879B" w14:textId="2A0394AF" w:rsidR="006459E8" w:rsidRPr="00027D7C" w:rsidRDefault="006459E8" w:rsidP="00446506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</w:t>
      </w:r>
      <w:r w:rsidR="00C8632E" w:rsidRPr="00027D7C">
        <w:rPr>
          <w:rFonts w:ascii="Calibri" w:hAnsi="Calibri" w:cs="Calibri"/>
          <w:sz w:val="22"/>
          <w:szCs w:val="22"/>
        </w:rPr>
        <w:t>I</w:t>
      </w:r>
      <w:r w:rsidRPr="00027D7C">
        <w:rPr>
          <w:rFonts w:ascii="Calibri" w:hAnsi="Calibri" w:cs="Calibri"/>
          <w:sz w:val="22"/>
          <w:szCs w:val="22"/>
        </w:rPr>
        <w:t>) The owner of the facility that is subject to the leasehold interest is a person described in clause (</w:t>
      </w:r>
      <w:proofErr w:type="spellStart"/>
      <w:r w:rsidRPr="00027D7C">
        <w:rPr>
          <w:rFonts w:ascii="Calibri" w:hAnsi="Calibri" w:cs="Calibri"/>
          <w:sz w:val="22"/>
          <w:szCs w:val="22"/>
        </w:rPr>
        <w:t>i</w:t>
      </w:r>
      <w:proofErr w:type="spellEnd"/>
      <w:r w:rsidRPr="00027D7C">
        <w:rPr>
          <w:rFonts w:ascii="Calibri" w:hAnsi="Calibri" w:cs="Calibri"/>
          <w:sz w:val="22"/>
          <w:szCs w:val="22"/>
        </w:rPr>
        <w:t>).</w:t>
      </w:r>
    </w:p>
    <w:p w14:paraId="537C5692" w14:textId="5CCD06B8" w:rsidR="006459E8" w:rsidRPr="00027D7C" w:rsidRDefault="006459E8" w:rsidP="00446506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</w:t>
      </w:r>
      <w:r w:rsidR="00C8632E" w:rsidRPr="00027D7C">
        <w:rPr>
          <w:rFonts w:ascii="Calibri" w:hAnsi="Calibri" w:cs="Calibri"/>
          <w:sz w:val="22"/>
          <w:szCs w:val="22"/>
        </w:rPr>
        <w:t>II</w:t>
      </w:r>
      <w:r w:rsidRPr="00027D7C">
        <w:rPr>
          <w:rFonts w:ascii="Calibri" w:hAnsi="Calibri" w:cs="Calibri"/>
          <w:sz w:val="22"/>
          <w:szCs w:val="22"/>
        </w:rPr>
        <w:t>)</w:t>
      </w:r>
      <w:r w:rsidR="00C8632E" w:rsidRPr="00027D7C">
        <w:rPr>
          <w:rFonts w:ascii="Calibri" w:hAnsi="Calibri" w:cs="Calibri"/>
          <w:sz w:val="22"/>
          <w:szCs w:val="22"/>
        </w:rPr>
        <w:t xml:space="preserve"> </w:t>
      </w:r>
      <w:r w:rsidRPr="00027D7C">
        <w:rPr>
          <w:rFonts w:ascii="Calibri" w:hAnsi="Calibri" w:cs="Calibri"/>
          <w:sz w:val="22"/>
          <w:szCs w:val="22"/>
        </w:rPr>
        <w:t>(</w:t>
      </w:r>
      <w:r w:rsidR="00C8632E" w:rsidRPr="00027D7C">
        <w:rPr>
          <w:rFonts w:ascii="Calibri" w:hAnsi="Calibri" w:cs="Calibri"/>
          <w:sz w:val="22"/>
          <w:szCs w:val="22"/>
        </w:rPr>
        <w:t>aa</w:t>
      </w:r>
      <w:r w:rsidRPr="00027D7C">
        <w:rPr>
          <w:rFonts w:ascii="Calibri" w:hAnsi="Calibri" w:cs="Calibri"/>
          <w:sz w:val="22"/>
          <w:szCs w:val="22"/>
        </w:rPr>
        <w:t>) The owner of the facility that is subject to the leasehold interest was a person described in clause (</w:t>
      </w:r>
      <w:proofErr w:type="spellStart"/>
      <w:r w:rsidRPr="00027D7C">
        <w:rPr>
          <w:rFonts w:ascii="Calibri" w:hAnsi="Calibri" w:cs="Calibri"/>
          <w:sz w:val="22"/>
          <w:szCs w:val="22"/>
        </w:rPr>
        <w:t>i</w:t>
      </w:r>
      <w:proofErr w:type="spellEnd"/>
      <w:r w:rsidRPr="00027D7C">
        <w:rPr>
          <w:rFonts w:ascii="Calibri" w:hAnsi="Calibri" w:cs="Calibri"/>
          <w:sz w:val="22"/>
          <w:szCs w:val="22"/>
        </w:rPr>
        <w:t>) at the time the leasehold interest was acquired, but can no longer establish by a preponderance of the evidence each of the criteria described in clauses (</w:t>
      </w:r>
      <w:proofErr w:type="spellStart"/>
      <w:r w:rsidRPr="00027D7C">
        <w:rPr>
          <w:rFonts w:ascii="Calibri" w:hAnsi="Calibri" w:cs="Calibri"/>
          <w:sz w:val="22"/>
          <w:szCs w:val="22"/>
        </w:rPr>
        <w:t>i</w:t>
      </w:r>
      <w:proofErr w:type="spellEnd"/>
      <w:r w:rsidRPr="00027D7C">
        <w:rPr>
          <w:rFonts w:ascii="Calibri" w:hAnsi="Calibri" w:cs="Calibri"/>
          <w:sz w:val="22"/>
          <w:szCs w:val="22"/>
        </w:rPr>
        <w:t xml:space="preserve">) through (viii) of subparagraph (B) </w:t>
      </w:r>
      <w:r w:rsidR="00325F5F" w:rsidRPr="00027D7C">
        <w:rPr>
          <w:rFonts w:ascii="Calibri" w:hAnsi="Calibri" w:cs="Calibri"/>
          <w:sz w:val="22"/>
          <w:szCs w:val="22"/>
        </w:rPr>
        <w:t xml:space="preserve">of paragraph 40 </w:t>
      </w:r>
      <w:r w:rsidRPr="00027D7C">
        <w:rPr>
          <w:rFonts w:ascii="Calibri" w:hAnsi="Calibri" w:cs="Calibri"/>
          <w:sz w:val="22"/>
          <w:szCs w:val="22"/>
        </w:rPr>
        <w:t>due to circumstances unrelated to any action of the person who holds the leasehold interest; and</w:t>
      </w:r>
    </w:p>
    <w:p w14:paraId="6411F042" w14:textId="3688E6C9" w:rsidR="006459E8" w:rsidRPr="00027D7C" w:rsidRDefault="006459E8" w:rsidP="00446506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</w:t>
      </w:r>
      <w:r w:rsidR="00C8632E" w:rsidRPr="00027D7C">
        <w:rPr>
          <w:rFonts w:ascii="Calibri" w:hAnsi="Calibri" w:cs="Calibri"/>
          <w:sz w:val="22"/>
          <w:szCs w:val="22"/>
        </w:rPr>
        <w:t>bb</w:t>
      </w:r>
      <w:r w:rsidRPr="00027D7C">
        <w:rPr>
          <w:rFonts w:ascii="Calibri" w:hAnsi="Calibri" w:cs="Calibri"/>
          <w:sz w:val="22"/>
          <w:szCs w:val="22"/>
        </w:rPr>
        <w:t>) the person who holds the leasehold interest establishes by a preponderance of the evidence each of the criteria described in clauses (</w:t>
      </w:r>
      <w:proofErr w:type="spellStart"/>
      <w:r w:rsidRPr="00027D7C">
        <w:rPr>
          <w:rFonts w:ascii="Calibri" w:hAnsi="Calibri" w:cs="Calibri"/>
          <w:sz w:val="22"/>
          <w:szCs w:val="22"/>
        </w:rPr>
        <w:t>i</w:t>
      </w:r>
      <w:proofErr w:type="spellEnd"/>
      <w:r w:rsidRPr="00027D7C">
        <w:rPr>
          <w:rFonts w:ascii="Calibri" w:hAnsi="Calibri" w:cs="Calibri"/>
          <w:sz w:val="22"/>
          <w:szCs w:val="22"/>
        </w:rPr>
        <w:t>), (iii), (iv), (v), (vi), (vii), and (viii) of subparagraph (B)</w:t>
      </w:r>
      <w:r w:rsidR="00325F5F" w:rsidRPr="00027D7C">
        <w:rPr>
          <w:rFonts w:ascii="Calibri" w:hAnsi="Calibri" w:cs="Calibri"/>
          <w:sz w:val="22"/>
          <w:szCs w:val="22"/>
        </w:rPr>
        <w:t xml:space="preserve"> of paragraph 40</w:t>
      </w:r>
      <w:r w:rsidR="005D6073">
        <w:rPr>
          <w:rFonts w:ascii="Calibri" w:hAnsi="Calibri" w:cs="Calibri"/>
          <w:sz w:val="22"/>
          <w:szCs w:val="22"/>
        </w:rPr>
        <w:t xml:space="preserve">. </w:t>
      </w:r>
    </w:p>
    <w:p w14:paraId="6998EC30" w14:textId="77777777" w:rsidR="00446506" w:rsidRDefault="006459E8" w:rsidP="00446506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="Calibri" w:hAnsi="Calibri" w:cs="Calibri"/>
          <w:sz w:val="22"/>
          <w:szCs w:val="22"/>
        </w:rPr>
      </w:pPr>
      <w:r w:rsidRPr="00027D7C">
        <w:rPr>
          <w:rFonts w:ascii="Calibri" w:hAnsi="Calibri" w:cs="Calibri"/>
          <w:sz w:val="22"/>
          <w:szCs w:val="22"/>
        </w:rPr>
        <w:t>(</w:t>
      </w:r>
      <w:r w:rsidR="00C8632E" w:rsidRPr="00027D7C">
        <w:rPr>
          <w:rFonts w:ascii="Calibri" w:hAnsi="Calibri" w:cs="Calibri"/>
          <w:sz w:val="22"/>
          <w:szCs w:val="22"/>
        </w:rPr>
        <w:t>III</w:t>
      </w:r>
      <w:r w:rsidRPr="00027D7C">
        <w:rPr>
          <w:rFonts w:ascii="Calibri" w:hAnsi="Calibri" w:cs="Calibri"/>
          <w:sz w:val="22"/>
          <w:szCs w:val="22"/>
        </w:rPr>
        <w:t>) The person who holds the leasehold interest establishes by a preponderance of the evidence each of the criteria described in clauses (</w:t>
      </w:r>
      <w:proofErr w:type="spellStart"/>
      <w:r w:rsidRPr="00027D7C">
        <w:rPr>
          <w:rFonts w:ascii="Calibri" w:hAnsi="Calibri" w:cs="Calibri"/>
          <w:sz w:val="22"/>
          <w:szCs w:val="22"/>
        </w:rPr>
        <w:t>i</w:t>
      </w:r>
      <w:proofErr w:type="spellEnd"/>
      <w:r w:rsidRPr="00027D7C">
        <w:rPr>
          <w:rFonts w:ascii="Calibri" w:hAnsi="Calibri" w:cs="Calibri"/>
          <w:sz w:val="22"/>
          <w:szCs w:val="22"/>
        </w:rPr>
        <w:t>) through (viii) of subparagraph (B)</w:t>
      </w:r>
      <w:r w:rsidR="00325F5F" w:rsidRPr="00027D7C">
        <w:rPr>
          <w:rFonts w:ascii="Calibri" w:hAnsi="Calibri" w:cs="Calibri"/>
          <w:sz w:val="22"/>
          <w:szCs w:val="22"/>
        </w:rPr>
        <w:t xml:space="preserve"> of paragraph 40</w:t>
      </w:r>
      <w:r w:rsidR="00024BF6" w:rsidRPr="00024BF6">
        <w:rPr>
          <w:rFonts w:ascii="Calibri" w:hAnsi="Calibri" w:cs="Calibri"/>
          <w:sz w:val="22"/>
          <w:szCs w:val="22"/>
        </w:rPr>
        <w:t>; and</w:t>
      </w:r>
    </w:p>
    <w:p w14:paraId="6CB2AAFE" w14:textId="64A6AF1E" w:rsidR="00024BF6" w:rsidRPr="00024BF6" w:rsidRDefault="00024BF6" w:rsidP="0044650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024BF6">
        <w:rPr>
          <w:rFonts w:ascii="Calibri" w:hAnsi="Calibri" w:cs="Calibri"/>
          <w:sz w:val="22"/>
          <w:szCs w:val="22"/>
        </w:rPr>
        <w:t>“(43) The term “</w:t>
      </w:r>
      <w:r w:rsidR="000B13E6" w:rsidRPr="00024BF6">
        <w:rPr>
          <w:rFonts w:ascii="Calibri" w:hAnsi="Calibri" w:cs="Calibri"/>
          <w:sz w:val="22"/>
          <w:szCs w:val="22"/>
        </w:rPr>
        <w:t xml:space="preserve">utility-scale </w:t>
      </w:r>
      <w:r w:rsidRPr="00024BF6">
        <w:rPr>
          <w:rFonts w:ascii="Calibri" w:hAnsi="Calibri" w:cs="Calibri"/>
          <w:sz w:val="22"/>
          <w:szCs w:val="22"/>
        </w:rPr>
        <w:t>wind and solar brownfields site” means a facility—</w:t>
      </w:r>
      <w:r w:rsidRPr="00024BF6">
        <w:rPr>
          <w:rFonts w:ascii="Calibri" w:hAnsi="Calibri" w:cs="Calibri"/>
          <w:sz w:val="22"/>
          <w:szCs w:val="22"/>
        </w:rPr>
        <w:br/>
        <w:t xml:space="preserve">(A) which is— </w:t>
      </w:r>
    </w:p>
    <w:p w14:paraId="1D56C1D8" w14:textId="77777777" w:rsidR="00024BF6" w:rsidRPr="00024BF6" w:rsidRDefault="00024BF6" w:rsidP="00446506">
      <w:pPr>
        <w:ind w:left="720" w:firstLine="720"/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</w:t>
      </w:r>
      <w:proofErr w:type="spell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proofErr w:type="spell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) a brownfields site; or </w:t>
      </w:r>
    </w:p>
    <w:p w14:paraId="4F5174D3" w14:textId="77777777" w:rsidR="00446506" w:rsidRDefault="00024BF6" w:rsidP="00446506">
      <w:pPr>
        <w:ind w:left="720" w:firstLine="720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(ii) an area of a brownfields site; and </w:t>
      </w:r>
    </w:p>
    <w:p w14:paraId="245740C8" w14:textId="2AA9CE06" w:rsidR="00024BF6" w:rsidRPr="00024BF6" w:rsidRDefault="00024BF6" w:rsidP="00446506">
      <w:pPr>
        <w:ind w:firstLine="720"/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 xml:space="preserve">(B) in which— </w:t>
      </w:r>
    </w:p>
    <w:p w14:paraId="425CECCE" w14:textId="3B0850A6" w:rsidR="00024BF6" w:rsidRPr="00024BF6" w:rsidRDefault="00024BF6" w:rsidP="00446506">
      <w:pPr>
        <w:ind w:left="1440"/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</w:t>
      </w:r>
      <w:proofErr w:type="spell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proofErr w:type="spell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) utility-scale </w:t>
      </w:r>
      <w:r w:rsidR="005553F9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generation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of solar or wind energy resources is the primary use; and (ii) in which the real property, expansion, redevelopment, or reuse is limited to that which is necessary for the </w:t>
      </w:r>
      <w:r w:rsidR="00011C89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utility-scale </w:t>
      </w:r>
      <w:r w:rsidR="00011C89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generation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of </w:t>
      </w:r>
      <w:r w:rsidR="00011C89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solar or wind 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energy resources.” </w:t>
      </w:r>
    </w:p>
    <w:p w14:paraId="0B86CA3D" w14:textId="77777777" w:rsidR="00446506" w:rsidRDefault="00446506" w:rsidP="00CF05F4">
      <w:pPr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2F6C696" w14:textId="02FBA8C9" w:rsidR="00024BF6" w:rsidRPr="00024BF6" w:rsidRDefault="00024BF6" w:rsidP="00CF05F4">
      <w:pPr>
        <w:rPr>
          <w:rFonts w:eastAsia="Times New Roman" w:cs="Times New Roman"/>
          <w:kern w:val="0"/>
          <w14:ligatures w14:val="none"/>
        </w:rPr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(b) </w:t>
      </w:r>
      <w:proofErr w:type="gram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LIABILITY.—</w:t>
      </w:r>
      <w:proofErr w:type="gram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Section 107 of the Comprehensive Environmental Response, Compensation, and Liability Act (42 U.S.C. 9607) is amended by adding at the end the following new subsection: </w:t>
      </w:r>
    </w:p>
    <w:p w14:paraId="7817324E" w14:textId="77777777" w:rsidR="00446506" w:rsidRDefault="00446506" w:rsidP="00324BB9">
      <w:pPr>
        <w:shd w:val="clear" w:color="auto" w:fill="FFFFFF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1CD8833" w14:textId="4D0947E0" w:rsidR="00B83D94" w:rsidRDefault="00024BF6" w:rsidP="00446506">
      <w:pPr>
        <w:shd w:val="clear" w:color="auto" w:fill="FFFFFF"/>
        <w:ind w:left="720"/>
      </w:pP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“(s) </w:t>
      </w:r>
      <w:r w:rsidR="00D21F5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U</w:t>
      </w:r>
      <w:r w:rsidR="00D21F50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tility-scale </w:t>
      </w:r>
      <w:r w:rsidR="00D21F5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w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ind and solar energy </w:t>
      </w:r>
      <w:r w:rsidR="005553F9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generator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exemption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br/>
        <w:t xml:space="preserve">Notwithstanding subsection (a)(1) of this section, a </w:t>
      </w:r>
      <w:r w:rsidR="002E08CE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utility-scale 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wind and solar energy </w:t>
      </w:r>
      <w:r w:rsidR="005553F9" w:rsidRPr="005553F9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="005553F9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generator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whose potential liability for a release or threatened release is based solely on the </w:t>
      </w:r>
      <w:r w:rsidR="00A118FF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utility-scale 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wind and solar energy </w:t>
      </w:r>
      <w:r w:rsidR="005553F9" w:rsidRPr="00B83D94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generator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proofErr w:type="gramStart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being considered to be</w:t>
      </w:r>
      <w:proofErr w:type="gramEnd"/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an owner or operator of a </w:t>
      </w:r>
      <w:r w:rsidR="00D245CC" w:rsidRPr="00024BF6">
        <w:rPr>
          <w:rFonts w:ascii="Calibri" w:hAnsi="Calibri" w:cs="Calibri"/>
          <w:sz w:val="22"/>
          <w:szCs w:val="22"/>
        </w:rPr>
        <w:t>utility-scale wind and solar brownfields site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shall not be liable </w:t>
      </w:r>
      <w:r w:rsidR="008B285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as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long as the </w:t>
      </w:r>
      <w:r w:rsidR="00A118FF"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utility-scale 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wind and solar energy </w:t>
      </w:r>
      <w:r w:rsidR="005553F9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generator</w:t>
      </w:r>
      <w:r w:rsidRPr="00024BF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does not impede the performance of a response action or natural resource restoration.” </w:t>
      </w:r>
    </w:p>
    <w:sectPr w:rsidR="00B83D94" w:rsidSect="00804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8D47A" w14:textId="77777777" w:rsidR="00164EA4" w:rsidRDefault="00164EA4" w:rsidP="00113E47">
      <w:r>
        <w:separator/>
      </w:r>
    </w:p>
  </w:endnote>
  <w:endnote w:type="continuationSeparator" w:id="0">
    <w:p w14:paraId="1C234304" w14:textId="77777777" w:rsidR="00164EA4" w:rsidRDefault="00164EA4" w:rsidP="0011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9D72C" w14:textId="77777777" w:rsidR="00164EA4" w:rsidRDefault="00164EA4" w:rsidP="00113E47">
      <w:r>
        <w:separator/>
      </w:r>
    </w:p>
  </w:footnote>
  <w:footnote w:type="continuationSeparator" w:id="0">
    <w:p w14:paraId="67098A74" w14:textId="77777777" w:rsidR="00164EA4" w:rsidRDefault="00164EA4" w:rsidP="00113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BF6"/>
    <w:rsid w:val="00000174"/>
    <w:rsid w:val="00011C89"/>
    <w:rsid w:val="00024BF6"/>
    <w:rsid w:val="00027D7C"/>
    <w:rsid w:val="000425FA"/>
    <w:rsid w:val="00056CDE"/>
    <w:rsid w:val="000B13E6"/>
    <w:rsid w:val="000B1EE4"/>
    <w:rsid w:val="00113E47"/>
    <w:rsid w:val="00164EA4"/>
    <w:rsid w:val="00213C61"/>
    <w:rsid w:val="002B5EB1"/>
    <w:rsid w:val="002C23EB"/>
    <w:rsid w:val="002E08CE"/>
    <w:rsid w:val="00324BB9"/>
    <w:rsid w:val="00325F5F"/>
    <w:rsid w:val="00446506"/>
    <w:rsid w:val="004F7B0D"/>
    <w:rsid w:val="005553F9"/>
    <w:rsid w:val="005D1ECF"/>
    <w:rsid w:val="005D6073"/>
    <w:rsid w:val="005E69CA"/>
    <w:rsid w:val="006459E8"/>
    <w:rsid w:val="006D134F"/>
    <w:rsid w:val="007D596E"/>
    <w:rsid w:val="00804D60"/>
    <w:rsid w:val="00810FBB"/>
    <w:rsid w:val="008B2858"/>
    <w:rsid w:val="00906B66"/>
    <w:rsid w:val="00A118FF"/>
    <w:rsid w:val="00AD587C"/>
    <w:rsid w:val="00B66DC6"/>
    <w:rsid w:val="00B677D9"/>
    <w:rsid w:val="00B83D94"/>
    <w:rsid w:val="00BB0363"/>
    <w:rsid w:val="00BC5BC3"/>
    <w:rsid w:val="00C720DC"/>
    <w:rsid w:val="00C8632E"/>
    <w:rsid w:val="00CA2747"/>
    <w:rsid w:val="00CF05F4"/>
    <w:rsid w:val="00D07A2A"/>
    <w:rsid w:val="00D21F50"/>
    <w:rsid w:val="00D245CC"/>
    <w:rsid w:val="00D57394"/>
    <w:rsid w:val="00DA26E5"/>
    <w:rsid w:val="00F1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888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4BF6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2E08CE"/>
  </w:style>
  <w:style w:type="character" w:styleId="Hyperlink">
    <w:name w:val="Hyperlink"/>
    <w:basedOn w:val="DefaultParagraphFont"/>
    <w:uiPriority w:val="99"/>
    <w:unhideWhenUsed/>
    <w:rsid w:val="004465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5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3E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E47"/>
  </w:style>
  <w:style w:type="paragraph" w:styleId="Footer">
    <w:name w:val="footer"/>
    <w:basedOn w:val="Normal"/>
    <w:link w:val="FooterChar"/>
    <w:uiPriority w:val="99"/>
    <w:unhideWhenUsed/>
    <w:rsid w:val="00113E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1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3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9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7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5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91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4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9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3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pdd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2023-05-08T14:29:00Z</dcterms:created>
  <dcterms:modified xsi:type="dcterms:W3CDTF">2023-05-08T14:29:00Z</dcterms:modified>
</cp:coreProperties>
</file>