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37B6B" w14:textId="0A00B1AA" w:rsidR="00021CC9" w:rsidRDefault="00021CC9" w:rsidP="002F7471">
      <w:pPr>
        <w:pStyle w:val="BlockTextJ"/>
        <w:spacing w:line="360" w:lineRule="auto"/>
      </w:pPr>
      <w:r w:rsidRPr="00021CC9">
        <w:t xml:space="preserve">This document has been prepared as part of the implementation project of Legal Pathways to Deep Decarbonization (Michael B. Gerrard and John C. </w:t>
      </w:r>
      <w:proofErr w:type="spellStart"/>
      <w:r w:rsidRPr="00021CC9">
        <w:t>Dernbach</w:t>
      </w:r>
      <w:proofErr w:type="spellEnd"/>
      <w:r w:rsidRPr="00021CC9">
        <w:t xml:space="preserve">, eds. Environmental Law Institute [2019]) (LPDD).  For background information on the project, see </w:t>
      </w:r>
      <w:hyperlink r:id="rId7" w:history="1">
        <w:r w:rsidR="00CD46FC" w:rsidRPr="00BD0AE8">
          <w:rPr>
            <w:rStyle w:val="Hyperlink"/>
          </w:rPr>
          <w:t>https://lpdd.org</w:t>
        </w:r>
      </w:hyperlink>
      <w:r w:rsidR="00CD46FC">
        <w:t xml:space="preserve">. </w:t>
      </w:r>
    </w:p>
    <w:p w14:paraId="5A73BC09" w14:textId="77777777" w:rsidR="002F7471" w:rsidRDefault="003D3839" w:rsidP="00F172C4">
      <w:pPr>
        <w:pStyle w:val="BlockTextJ"/>
        <w:spacing w:after="0"/>
        <w:ind w:left="720" w:hanging="720"/>
        <w:jc w:val="center"/>
        <w:rPr>
          <w:b/>
          <w:bCs/>
        </w:rPr>
      </w:pPr>
      <w:r w:rsidRPr="002F7471">
        <w:rPr>
          <w:b/>
          <w:bCs/>
        </w:rPr>
        <w:t xml:space="preserve">MODEL </w:t>
      </w:r>
      <w:r w:rsidR="008D4DF4" w:rsidRPr="002F7471">
        <w:rPr>
          <w:b/>
          <w:bCs/>
        </w:rPr>
        <w:t xml:space="preserve">STATE </w:t>
      </w:r>
      <w:r w:rsidRPr="002F7471">
        <w:rPr>
          <w:b/>
          <w:bCs/>
        </w:rPr>
        <w:t xml:space="preserve">LAW </w:t>
      </w:r>
      <w:r w:rsidR="00C37465" w:rsidRPr="002F7471">
        <w:rPr>
          <w:b/>
          <w:bCs/>
        </w:rPr>
        <w:t>PROVISION</w:t>
      </w:r>
      <w:r w:rsidR="008D4DF4" w:rsidRPr="002F7471">
        <w:rPr>
          <w:b/>
          <w:bCs/>
        </w:rPr>
        <w:t xml:space="preserve"> TO </w:t>
      </w:r>
      <w:r w:rsidR="00F172C4" w:rsidRPr="002F7471">
        <w:rPr>
          <w:b/>
          <w:bCs/>
        </w:rPr>
        <w:t xml:space="preserve">ACHIEVE REGULATORY REALIGNMENT OF PUBLIC UTILITY POLICIES WITH </w:t>
      </w:r>
    </w:p>
    <w:p w14:paraId="684F1F2A" w14:textId="59D1A354" w:rsidR="009E63D1" w:rsidRPr="002F7471" w:rsidRDefault="00F172C4" w:rsidP="00F172C4">
      <w:pPr>
        <w:pStyle w:val="BlockTextJ"/>
        <w:spacing w:after="0"/>
        <w:ind w:left="720" w:hanging="720"/>
        <w:jc w:val="center"/>
        <w:rPr>
          <w:b/>
          <w:bCs/>
        </w:rPr>
      </w:pPr>
      <w:r w:rsidRPr="002F7471">
        <w:rPr>
          <w:b/>
          <w:bCs/>
        </w:rPr>
        <w:t>ENERGY AND ENVIRONMENTAL GOALS</w:t>
      </w:r>
      <w:r w:rsidR="00CD46FC" w:rsidRPr="002F7471">
        <w:rPr>
          <w:rStyle w:val="FootnoteReference"/>
          <w:b/>
          <w:bCs/>
        </w:rPr>
        <w:footnoteReference w:id="1"/>
      </w:r>
      <w:r w:rsidR="00CD46FC" w:rsidRPr="002F7471">
        <w:rPr>
          <w:b/>
          <w:bCs/>
        </w:rPr>
        <w:t xml:space="preserve"> </w:t>
      </w:r>
    </w:p>
    <w:p w14:paraId="7DC31999" w14:textId="77777777" w:rsidR="00F172C4" w:rsidRDefault="00F172C4" w:rsidP="00F172C4">
      <w:pPr>
        <w:pStyle w:val="BlockTextJ"/>
        <w:spacing w:after="0"/>
        <w:ind w:left="720" w:hanging="720"/>
        <w:jc w:val="center"/>
      </w:pPr>
    </w:p>
    <w:p w14:paraId="1DD05574" w14:textId="65618DBD" w:rsidR="006B3189" w:rsidRDefault="006B3189" w:rsidP="003A114B">
      <w:pPr>
        <w:pStyle w:val="BlockTextJ"/>
        <w:numPr>
          <w:ilvl w:val="0"/>
          <w:numId w:val="2"/>
        </w:numPr>
        <w:spacing w:line="360" w:lineRule="auto"/>
        <w:rPr>
          <w:b/>
        </w:rPr>
      </w:pPr>
      <w:r>
        <w:rPr>
          <w:b/>
        </w:rPr>
        <w:t>Introduction</w:t>
      </w:r>
    </w:p>
    <w:p w14:paraId="23786BB9" w14:textId="77777777" w:rsidR="002F7471" w:rsidRDefault="006B3189" w:rsidP="002F7471">
      <w:pPr>
        <w:pStyle w:val="BlockTextJ"/>
        <w:spacing w:line="360" w:lineRule="auto"/>
        <w:ind w:firstLine="720"/>
      </w:pPr>
      <w:r>
        <w:t xml:space="preserve">The </w:t>
      </w:r>
      <w:r w:rsidRPr="00183B40">
        <w:rPr>
          <w:i/>
        </w:rPr>
        <w:t>Model Laws for Deep Decarbonization in the United States</w:t>
      </w:r>
      <w:r>
        <w:t xml:space="preserve"> project at Columbia Law School’s Sabin </w:t>
      </w:r>
      <w:r w:rsidRPr="00697DDB">
        <w:t xml:space="preserve">Center for Climate Change Law develops model laws that can be adopted by all levels of government </w:t>
      </w:r>
      <w:r w:rsidR="00CD46FC">
        <w:t>and the private sector to reduce fossil fuel use and greenhouse gas (“GHG”) emissions.</w:t>
      </w:r>
      <w:r w:rsidR="00CD46FC">
        <w:rPr>
          <w:rStyle w:val="FootnoteReference"/>
        </w:rPr>
        <w:footnoteReference w:id="2"/>
      </w:r>
      <w:r w:rsidR="00CD46FC">
        <w:t xml:space="preserve"> The objective is to identify a broad range of potential approaches to deep decarbonization</w:t>
      </w:r>
      <w:r w:rsidR="008E1F60">
        <w:rPr>
          <w:rStyle w:val="FootnoteReference"/>
        </w:rPr>
        <w:footnoteReference w:id="3"/>
      </w:r>
      <w:r w:rsidR="00CD46FC">
        <w:t xml:space="preserve"> to allow decisionmakers to better understand the wide range of available choices and choose the legal pathways that are </w:t>
      </w:r>
      <w:r w:rsidR="00F655D6">
        <w:t>appropriate and feasible.</w:t>
      </w:r>
      <w:r w:rsidR="00F655D6">
        <w:rPr>
          <w:rStyle w:val="FootnoteReference"/>
        </w:rPr>
        <w:footnoteReference w:id="4"/>
      </w:r>
      <w:r w:rsidR="00F655D6">
        <w:t xml:space="preserve"> Chapter 23 of </w:t>
      </w:r>
      <w:r w:rsidR="00F655D6">
        <w:rPr>
          <w:i/>
          <w:iCs/>
        </w:rPr>
        <w:t>Legal Pathways to Deep Decarbonization in the United States</w:t>
      </w:r>
      <w:r w:rsidR="00F655D6">
        <w:t xml:space="preserve"> provides recommendations related to electricity charges, mandates, and subsidies, focusing on specific policy changes aimed at balancing economic, consumer welfare, and environmental goals that can help facilitate the transition to deep decarbonization. </w:t>
      </w:r>
    </w:p>
    <w:p w14:paraId="70AB5FFE" w14:textId="5C38E3C0" w:rsidR="001C4421" w:rsidRDefault="001C4421" w:rsidP="008F61EB">
      <w:pPr>
        <w:pStyle w:val="BlockTextJ"/>
        <w:spacing w:line="360" w:lineRule="auto"/>
        <w:ind w:firstLine="720"/>
      </w:pPr>
      <w:r>
        <w:t xml:space="preserve">One of the obstacles to achieving decarbonization in the electric power sector is </w:t>
      </w:r>
      <w:r w:rsidR="00715408">
        <w:t xml:space="preserve">that many of the laws and statutes that govern public utility (or public service) commissions (“PUCs”) are antiquated. </w:t>
      </w:r>
      <w:r w:rsidR="007805C8">
        <w:t xml:space="preserve">PUCs were </w:t>
      </w:r>
      <w:r w:rsidR="002F7471">
        <w:t xml:space="preserve">originally </w:t>
      </w:r>
      <w:r w:rsidR="007805C8">
        <w:t xml:space="preserve">created and tasked with overseeing the operations of utilities to ensure that they provide safe and reliable services at a just and reasonable rate that allows utilities to maintain a viable business. </w:t>
      </w:r>
      <w:r w:rsidR="007805C8" w:rsidRPr="003A114B">
        <w:t>While</w:t>
      </w:r>
      <w:r w:rsidR="00715408" w:rsidRPr="003A114B">
        <w:t xml:space="preserve"> most PUCs </w:t>
      </w:r>
      <w:r w:rsidR="003A114B" w:rsidRPr="003A114B">
        <w:t>make efforts to</w:t>
      </w:r>
      <w:r w:rsidR="00715408" w:rsidRPr="003A114B">
        <w:t xml:space="preserve"> modernize their actions</w:t>
      </w:r>
      <w:r w:rsidR="003A114B" w:rsidRPr="003A114B">
        <w:t>, organization,</w:t>
      </w:r>
      <w:r w:rsidR="00715408" w:rsidRPr="003A114B">
        <w:t xml:space="preserve"> and decision-making through</w:t>
      </w:r>
      <w:r w:rsidR="00715408">
        <w:t xml:space="preserve"> policy changes</w:t>
      </w:r>
      <w:r w:rsidR="004951D5">
        <w:t xml:space="preserve">, </w:t>
      </w:r>
      <w:r w:rsidR="004951D5">
        <w:lastRenderedPageBreak/>
        <w:t xml:space="preserve">the absence of statutory </w:t>
      </w:r>
      <w:r w:rsidR="00DB42BC">
        <w:t>requirements</w:t>
      </w:r>
      <w:r w:rsidR="004951D5">
        <w:t xml:space="preserve"> to consider climate effects in making electric power decisions </w:t>
      </w:r>
      <w:r w:rsidR="007805C8">
        <w:t>can</w:t>
      </w:r>
      <w:r w:rsidR="004951D5">
        <w:t xml:space="preserve"> hamstring the transition to decarbonization. In some instances, th</w:t>
      </w:r>
      <w:r w:rsidR="002E223F">
        <w:t xml:space="preserve">ese outdated statutory </w:t>
      </w:r>
      <w:r w:rsidR="00DB42BC">
        <w:t>provisions may serve as</w:t>
      </w:r>
      <w:r w:rsidR="002E223F">
        <w:t xml:space="preserve"> regulatory barriers to decarbonization because they </w:t>
      </w:r>
      <w:r w:rsidR="00DB42BC">
        <w:t xml:space="preserve">do not </w:t>
      </w:r>
      <w:r w:rsidR="005A1545">
        <w:t>require</w:t>
      </w:r>
      <w:r w:rsidR="00DB42BC">
        <w:t xml:space="preserve">, and </w:t>
      </w:r>
      <w:r w:rsidR="00E24113">
        <w:t>as a result may potentially</w:t>
      </w:r>
      <w:r w:rsidR="00DB42BC">
        <w:t xml:space="preserve"> constrain,</w:t>
      </w:r>
      <w:r w:rsidR="002E223F">
        <w:t xml:space="preserve"> consideration of other state energy and environmental goals.</w:t>
      </w:r>
      <w:r w:rsidR="002E223F">
        <w:rPr>
          <w:rStyle w:val="FootnoteReference"/>
        </w:rPr>
        <w:footnoteReference w:id="5"/>
      </w:r>
      <w:r w:rsidR="002E223F">
        <w:t xml:space="preserve"> </w:t>
      </w:r>
      <w:r>
        <w:t xml:space="preserve">Recommendations provided in </w:t>
      </w:r>
      <w:r>
        <w:rPr>
          <w:i/>
          <w:iCs/>
        </w:rPr>
        <w:t xml:space="preserve">Legal Pathways to Deep </w:t>
      </w:r>
      <w:r w:rsidRPr="001C4421">
        <w:rPr>
          <w:i/>
          <w:iCs/>
        </w:rPr>
        <w:t>Decarbonization</w:t>
      </w:r>
      <w:r>
        <w:t xml:space="preserve"> </w:t>
      </w:r>
      <w:r w:rsidRPr="001C4421">
        <w:t>to</w:t>
      </w:r>
      <w:r>
        <w:t xml:space="preserve"> overcome this obstacle include aligning public utility policies with broader energy goals related to decarbonization.</w:t>
      </w:r>
      <w:r>
        <w:rPr>
          <w:rStyle w:val="FootnoteReference"/>
        </w:rPr>
        <w:footnoteReference w:id="6"/>
      </w:r>
      <w:r>
        <w:t xml:space="preserve"> This can be achieved by requiring public utility regulators </w:t>
      </w:r>
      <w:r w:rsidR="00A42D4A">
        <w:t xml:space="preserve">to </w:t>
      </w:r>
      <w:r>
        <w:t>consider decarbonization</w:t>
      </w:r>
      <w:r w:rsidR="00DF0A84">
        <w:t xml:space="preserve"> </w:t>
      </w:r>
      <w:r w:rsidR="00AA46DC">
        <w:t>and</w:t>
      </w:r>
      <w:r>
        <w:t xml:space="preserve"> creating a</w:t>
      </w:r>
      <w:r w:rsidR="00DB42BC">
        <w:t xml:space="preserve"> state energy office </w:t>
      </w:r>
      <w:r>
        <w:t>with oversight authority over basic energy policy decisions.</w:t>
      </w:r>
      <w:r>
        <w:rPr>
          <w:rStyle w:val="FootnoteReference"/>
        </w:rPr>
        <w:footnoteReference w:id="7"/>
      </w:r>
      <w:r>
        <w:t xml:space="preserve"> </w:t>
      </w:r>
      <w:r w:rsidR="00C17AFD">
        <w:t>Requiring PUCs to consider decarbonization can be achieved through the addition of an explicit mandate to consider climate effects</w:t>
      </w:r>
      <w:r w:rsidR="00787F3D">
        <w:t xml:space="preserve"> or through a more generalized mandate to consider the public interest and other </w:t>
      </w:r>
      <w:r w:rsidR="00787F3D" w:rsidRPr="00C015D9">
        <w:rPr>
          <w:rFonts w:cs="Times New Roman"/>
        </w:rPr>
        <w:t xml:space="preserve">relevant environmental </w:t>
      </w:r>
      <w:r w:rsidR="00787F3D">
        <w:rPr>
          <w:rFonts w:cs="Times New Roman"/>
        </w:rPr>
        <w:t>costs, benefits, and risk mitigation factors.</w:t>
      </w:r>
      <w:r w:rsidR="00C17AFD">
        <w:rPr>
          <w:rStyle w:val="FootnoteReference"/>
        </w:rPr>
        <w:footnoteReference w:id="8"/>
      </w:r>
      <w:r w:rsidR="00C17AFD">
        <w:t xml:space="preserve"> </w:t>
      </w:r>
      <w:r>
        <w:t xml:space="preserve">Since many states already have </w:t>
      </w:r>
      <w:r w:rsidR="00DB42BC">
        <w:t>an energy office</w:t>
      </w:r>
      <w:r>
        <w:t>,</w:t>
      </w:r>
      <w:r w:rsidR="00F172C4">
        <w:rPr>
          <w:rStyle w:val="FootnoteReference"/>
        </w:rPr>
        <w:footnoteReference w:id="9"/>
      </w:r>
      <w:r>
        <w:t xml:space="preserve"> another option would be to require commissioners to </w:t>
      </w:r>
      <w:r w:rsidR="005A1545">
        <w:t>align</w:t>
      </w:r>
      <w:r>
        <w:t xml:space="preserve"> policy priorities </w:t>
      </w:r>
      <w:r w:rsidR="00922AF2">
        <w:t>with</w:t>
      </w:r>
      <w:r w:rsidR="008F61EB">
        <w:t xml:space="preserve"> </w:t>
      </w:r>
      <w:r>
        <w:t xml:space="preserve">other state energy and environmental </w:t>
      </w:r>
      <w:r w:rsidR="005A1545">
        <w:t xml:space="preserve">goals </w:t>
      </w:r>
      <w:r w:rsidR="00DF0A84">
        <w:t>and consider other environmental externalities</w:t>
      </w:r>
      <w:r w:rsidR="0087238D">
        <w:t xml:space="preserve"> when making electric power decisions, including rate-making</w:t>
      </w:r>
      <w:r>
        <w:t>.</w:t>
      </w:r>
      <w:r w:rsidR="00F172C4">
        <w:rPr>
          <w:rStyle w:val="FootnoteReference"/>
        </w:rPr>
        <w:footnoteReference w:id="10"/>
      </w:r>
      <w:r>
        <w:t xml:space="preserve"> </w:t>
      </w:r>
      <w:r w:rsidR="00DB42BC">
        <w:t xml:space="preserve">Additionally, the duties and functions of the existing state energy office should be reviewed and amended as needed to ensure that office also has the statutory authority to coordinate with the state PUC. </w:t>
      </w:r>
    </w:p>
    <w:p w14:paraId="379072AE" w14:textId="6AE748A2" w:rsidR="009D1FAF" w:rsidRPr="00F655D6" w:rsidRDefault="00DC4271" w:rsidP="003A114B">
      <w:pPr>
        <w:pStyle w:val="BlockTextJ"/>
        <w:spacing w:line="360" w:lineRule="auto"/>
        <w:ind w:firstLine="720"/>
      </w:pPr>
      <w:r>
        <w:t xml:space="preserve">A review of existing </w:t>
      </w:r>
      <w:r w:rsidR="00715408">
        <w:t xml:space="preserve">laws and statutes that currently define the </w:t>
      </w:r>
      <w:r w:rsidR="008B3E6E">
        <w:t xml:space="preserve">authority </w:t>
      </w:r>
      <w:r w:rsidR="00715408">
        <w:t xml:space="preserve">of </w:t>
      </w:r>
      <w:r w:rsidR="005A1545">
        <w:t xml:space="preserve">PUCs </w:t>
      </w:r>
      <w:r>
        <w:t xml:space="preserve">shows that such legislation </w:t>
      </w:r>
      <w:r w:rsidR="008B3E6E">
        <w:t xml:space="preserve">varies from state to state, but there are generally </w:t>
      </w:r>
      <w:r w:rsidR="009D1FAF">
        <w:t xml:space="preserve">three different </w:t>
      </w:r>
      <w:r w:rsidR="00756ABD">
        <w:t>approaches</w:t>
      </w:r>
      <w:r w:rsidR="009D1FAF">
        <w:t xml:space="preserve"> </w:t>
      </w:r>
      <w:r w:rsidR="008B3E6E">
        <w:t xml:space="preserve">used </w:t>
      </w:r>
      <w:r w:rsidR="005A1545">
        <w:t>to</w:t>
      </w:r>
      <w:r w:rsidR="009D1FAF">
        <w:t xml:space="preserve"> </w:t>
      </w:r>
      <w:r w:rsidR="00756ABD">
        <w:t>direct</w:t>
      </w:r>
      <w:r w:rsidR="009D1FAF">
        <w:t xml:space="preserve"> </w:t>
      </w:r>
      <w:r w:rsidR="00756ABD">
        <w:t>PUCs</w:t>
      </w:r>
      <w:r w:rsidR="009D1FAF">
        <w:t xml:space="preserve"> to consider</w:t>
      </w:r>
      <w:r w:rsidR="005A1545">
        <w:t xml:space="preserve"> </w:t>
      </w:r>
      <w:r w:rsidR="008B3E6E">
        <w:t xml:space="preserve">certain criteria </w:t>
      </w:r>
      <w:r w:rsidR="009D1FAF">
        <w:t xml:space="preserve">in designing electricity policy: (1) </w:t>
      </w:r>
      <w:r w:rsidR="005A1545">
        <w:t xml:space="preserve">statutes that </w:t>
      </w:r>
      <w:r w:rsidR="005A1545">
        <w:lastRenderedPageBreak/>
        <w:t xml:space="preserve">require </w:t>
      </w:r>
      <w:r w:rsidR="008B3E6E">
        <w:t xml:space="preserve">specific </w:t>
      </w:r>
      <w:r w:rsidR="005A1545">
        <w:t>consideration of</w:t>
      </w:r>
      <w:r w:rsidR="009D1FAF">
        <w:t xml:space="preserve"> environmental externalities; (2) </w:t>
      </w:r>
      <w:r w:rsidR="005A1545">
        <w:t>statutes that require consideration of</w:t>
      </w:r>
      <w:r w:rsidR="009D1FAF">
        <w:t xml:space="preserve"> </w:t>
      </w:r>
      <w:r w:rsidR="005A1545">
        <w:t xml:space="preserve">the </w:t>
      </w:r>
      <w:r w:rsidR="009D1FAF">
        <w:t xml:space="preserve">public health, public welfare, or the public interest; and (3) </w:t>
      </w:r>
      <w:r w:rsidR="005A1545">
        <w:t>statutes</w:t>
      </w:r>
      <w:r w:rsidR="009D1FAF">
        <w:t xml:space="preserve"> that provide general regulatory discretion to the utility commission.</w:t>
      </w:r>
      <w:r w:rsidR="009D1FAF">
        <w:rPr>
          <w:rStyle w:val="FootnoteReference"/>
        </w:rPr>
        <w:footnoteReference w:id="11"/>
      </w:r>
      <w:r w:rsidR="009D1FAF">
        <w:t xml:space="preserve"> </w:t>
      </w:r>
      <w:r w:rsidR="0087238D">
        <w:t xml:space="preserve">While many </w:t>
      </w:r>
      <w:r w:rsidR="005A1545">
        <w:t>PUCs</w:t>
      </w:r>
      <w:r w:rsidR="003A6934">
        <w:t xml:space="preserve"> operating under general regulatory discretion language (category 3) </w:t>
      </w:r>
      <w:r w:rsidR="005A1545">
        <w:t>can and do</w:t>
      </w:r>
      <w:r w:rsidR="003A6934">
        <w:t xml:space="preserve"> consider climate effects and other environmental </w:t>
      </w:r>
      <w:r w:rsidR="008B3E6E">
        <w:t>factors</w:t>
      </w:r>
      <w:r w:rsidR="003A6934">
        <w:t xml:space="preserve">, greater alignment between energy and environmental policy will be achieved if states </w:t>
      </w:r>
      <w:r w:rsidR="00756ABD">
        <w:t>update</w:t>
      </w:r>
      <w:r w:rsidR="005A1545">
        <w:t xml:space="preserve"> PUC statutes </w:t>
      </w:r>
      <w:r w:rsidR="00756ABD">
        <w:t xml:space="preserve">to specifically </w:t>
      </w:r>
      <w:r w:rsidR="005A1545">
        <w:t>require</w:t>
      </w:r>
      <w:r w:rsidR="00756ABD">
        <w:t xml:space="preserve"> </w:t>
      </w:r>
      <w:r w:rsidR="003A6934">
        <w:t>consideration of environmental externalities or the public interest, health, and welfare</w:t>
      </w:r>
      <w:r w:rsidR="008B3E6E">
        <w:t xml:space="preserve"> as well as coordination between the PUC and other energy and environmental officials as it relates to a state’s energy policy</w:t>
      </w:r>
      <w:r w:rsidR="003A6934">
        <w:t xml:space="preserve">. </w:t>
      </w:r>
      <w:r w:rsidR="005A1545">
        <w:t xml:space="preserve">This </w:t>
      </w:r>
      <w:r w:rsidR="00950A21">
        <w:t xml:space="preserve">clarification in PUC authority will </w:t>
      </w:r>
      <w:r w:rsidR="005A1545">
        <w:t>streamline existing regulatory processes and promote innovation and flexibility in</w:t>
      </w:r>
      <w:r w:rsidR="003A6934">
        <w:t xml:space="preserve"> </w:t>
      </w:r>
      <w:r w:rsidR="005A1545">
        <w:t xml:space="preserve">implementation of </w:t>
      </w:r>
      <w:r w:rsidR="003A6934">
        <w:t>decarbonization strategies</w:t>
      </w:r>
      <w:r w:rsidR="00950A21">
        <w:t>.</w:t>
      </w:r>
      <w:r w:rsidR="003A6934">
        <w:t xml:space="preserve"> </w:t>
      </w:r>
    </w:p>
    <w:p w14:paraId="70B07713" w14:textId="6B37A64A" w:rsidR="003A114B" w:rsidRDefault="003A114B" w:rsidP="003A114B">
      <w:pPr>
        <w:pStyle w:val="BlockTextJ"/>
        <w:numPr>
          <w:ilvl w:val="0"/>
          <w:numId w:val="2"/>
        </w:numPr>
        <w:spacing w:line="360" w:lineRule="auto"/>
        <w:rPr>
          <w:b/>
          <w:bCs/>
        </w:rPr>
      </w:pPr>
      <w:r>
        <w:rPr>
          <w:b/>
          <w:bCs/>
        </w:rPr>
        <w:t xml:space="preserve">Overview of Model State Law Provision </w:t>
      </w:r>
    </w:p>
    <w:p w14:paraId="2D344AC8" w14:textId="4F80DEC4" w:rsidR="001B5827" w:rsidRDefault="00F172C4" w:rsidP="003A114B">
      <w:pPr>
        <w:pStyle w:val="BlockTextJ"/>
        <w:spacing w:line="360" w:lineRule="auto"/>
        <w:ind w:firstLine="720"/>
      </w:pPr>
      <w:r>
        <w:t xml:space="preserve">The Model State Law Provision to Achieve Regulatory Realignment of Public Utility Policies with Energy and Environmental Goals provides a framework for promoting decarbonization by balancing </w:t>
      </w:r>
      <w:r w:rsidR="00DF0A84">
        <w:t xml:space="preserve">a </w:t>
      </w:r>
      <w:r w:rsidR="00682E69">
        <w:t>PUC</w:t>
      </w:r>
      <w:r w:rsidR="00DF0A84">
        <w:t>’s</w:t>
      </w:r>
      <w:r w:rsidR="00343216">
        <w:t xml:space="preserve"> </w:t>
      </w:r>
      <w:r>
        <w:t xml:space="preserve">economic and consumer protection </w:t>
      </w:r>
      <w:r w:rsidR="00343216">
        <w:t xml:space="preserve">goals </w:t>
      </w:r>
      <w:r w:rsidR="00DF0A84">
        <w:t xml:space="preserve">of ensuring just and reasonable rates </w:t>
      </w:r>
      <w:r>
        <w:t xml:space="preserve">with </w:t>
      </w:r>
      <w:r w:rsidR="00343216">
        <w:t>existing</w:t>
      </w:r>
      <w:r>
        <w:t xml:space="preserve"> public interest</w:t>
      </w:r>
      <w:r w:rsidR="001D15E3">
        <w:t xml:space="preserve"> </w:t>
      </w:r>
      <w:r>
        <w:t xml:space="preserve">policies </w:t>
      </w:r>
      <w:r w:rsidR="00343216">
        <w:t>implemented through state</w:t>
      </w:r>
      <w:r>
        <w:t xml:space="preserve"> energy and environmental </w:t>
      </w:r>
      <w:r w:rsidR="00343216">
        <w:t>officials</w:t>
      </w:r>
      <w:r>
        <w:t>.</w:t>
      </w:r>
      <w:r w:rsidR="0087238D">
        <w:t xml:space="preserve"> </w:t>
      </w:r>
      <w:r w:rsidR="00860358">
        <w:t>The Model Provision is not intended to be a comprehensive,</w:t>
      </w:r>
      <w:r w:rsidR="00D679AA">
        <w:t xml:space="preserve"> </w:t>
      </w:r>
      <w:r w:rsidR="00860358">
        <w:t xml:space="preserve">stand-alone </w:t>
      </w:r>
      <w:r w:rsidR="00D679AA">
        <w:t xml:space="preserve">state </w:t>
      </w:r>
      <w:r w:rsidR="00860358">
        <w:t xml:space="preserve">law. </w:t>
      </w:r>
      <w:r w:rsidR="007757C9">
        <w:t>Instead</w:t>
      </w:r>
      <w:r w:rsidR="00860358">
        <w:t>, it is</w:t>
      </w:r>
      <w:r w:rsidR="00D679AA">
        <w:t xml:space="preserve"> </w:t>
      </w:r>
      <w:r w:rsidR="007757C9">
        <w:t>series of</w:t>
      </w:r>
      <w:r w:rsidR="00D679AA">
        <w:t xml:space="preserve"> provision</w:t>
      </w:r>
      <w:r w:rsidR="007757C9">
        <w:t>s</w:t>
      </w:r>
      <w:r w:rsidR="00D679AA">
        <w:t xml:space="preserve"> </w:t>
      </w:r>
      <w:r w:rsidR="00860358">
        <w:t xml:space="preserve">designed to be </w:t>
      </w:r>
      <w:r w:rsidR="007757C9">
        <w:t>added to</w:t>
      </w:r>
      <w:r w:rsidR="00860358">
        <w:t xml:space="preserve"> </w:t>
      </w:r>
      <w:r w:rsidR="007757C9">
        <w:t>existing state legislation creating public service commissions and providing for their duties and responsibilities</w:t>
      </w:r>
      <w:r w:rsidR="00A03FCC">
        <w:t>. These model provision</w:t>
      </w:r>
      <w:r w:rsidR="008B7C7B">
        <w:t>s</w:t>
      </w:r>
      <w:r w:rsidR="00A03FCC">
        <w:t xml:space="preserve"> can be included in a more</w:t>
      </w:r>
      <w:r w:rsidR="007757C9">
        <w:t xml:space="preserve"> </w:t>
      </w:r>
      <w:r w:rsidR="00860358">
        <w:t xml:space="preserve">comprehensive state </w:t>
      </w:r>
      <w:r w:rsidR="00A03FCC">
        <w:t xml:space="preserve">bill </w:t>
      </w:r>
      <w:r w:rsidR="00860358">
        <w:t xml:space="preserve">addressing climate change mitigation </w:t>
      </w:r>
      <w:r w:rsidR="00860358" w:rsidRPr="00915EC6">
        <w:t>or adaptation</w:t>
      </w:r>
      <w:r w:rsidR="007757C9" w:rsidRPr="00915EC6">
        <w:t xml:space="preserve"> or</w:t>
      </w:r>
      <w:r w:rsidR="007757C9">
        <w:t xml:space="preserve"> as a stand-alone </w:t>
      </w:r>
      <w:r w:rsidR="004D0090">
        <w:t>bill</w:t>
      </w:r>
      <w:r w:rsidR="007757C9">
        <w:t xml:space="preserve"> designed to modernize public utility policies and rate-making goals and objectives. </w:t>
      </w:r>
      <w:r w:rsidR="003F5139">
        <w:t>The three main objectives of this model provisions are to: (1) amend existing PUC rate-making authority to include consideration of the public interest and other environmental externalities related to climate effects; (2) ensure PUCs have sufficient staff, resources, and technical expertise to advance state energy policies through its regulatory decision-making</w:t>
      </w:r>
      <w:r w:rsidR="00DD507B">
        <w:t xml:space="preserve"> or the ability to utilize other agency resources and expertise</w:t>
      </w:r>
      <w:r w:rsidR="003F5139">
        <w:t xml:space="preserve">; and (3) create </w:t>
      </w:r>
      <w:r w:rsidR="009C0F06">
        <w:t>a state energy office or, if such an office already exists, amend its existing statutory framework to ensure that office has the authority to coordinate state energy goals, including carbon reduction objectives, with its PUC</w:t>
      </w:r>
      <w:r w:rsidR="00D00A08">
        <w:t>, coordinate state energy goals with other states and the federal government, and participate in regional discussions, including interstate compact initiatives</w:t>
      </w:r>
      <w:r w:rsidR="003F5139">
        <w:t>.</w:t>
      </w:r>
    </w:p>
    <w:p w14:paraId="607999F7" w14:textId="2CCFFA05" w:rsidR="007864D6" w:rsidRDefault="007864D6" w:rsidP="00A661D7">
      <w:pPr>
        <w:pStyle w:val="BlockTextJ"/>
        <w:spacing w:line="360" w:lineRule="auto"/>
        <w:jc w:val="center"/>
        <w:rPr>
          <w:b/>
        </w:rPr>
      </w:pPr>
      <w:r w:rsidRPr="007864D6">
        <w:rPr>
          <w:b/>
        </w:rPr>
        <w:lastRenderedPageBreak/>
        <w:t>Model Provision</w:t>
      </w:r>
    </w:p>
    <w:p w14:paraId="3414703F" w14:textId="01B333D6" w:rsidR="009E2822" w:rsidRPr="009E2822" w:rsidRDefault="009E2822" w:rsidP="00A84CC6">
      <w:pPr>
        <w:pStyle w:val="BlockTextJ"/>
        <w:spacing w:line="360" w:lineRule="auto"/>
      </w:pPr>
      <w:r w:rsidRPr="009E2822">
        <w:t>[</w:t>
      </w:r>
      <w:r w:rsidRPr="00AE1F79">
        <w:rPr>
          <w:b/>
          <w:i/>
        </w:rPr>
        <w:t xml:space="preserve">To be incorporated into State legislation concerning climate change mitigation and </w:t>
      </w:r>
      <w:r w:rsidRPr="00915EC6">
        <w:rPr>
          <w:b/>
          <w:i/>
        </w:rPr>
        <w:t>adaptation</w:t>
      </w:r>
      <w:r w:rsidRPr="00915EC6">
        <w:t>]</w:t>
      </w:r>
    </w:p>
    <w:p w14:paraId="0F2300B9" w14:textId="7DEDD2DD" w:rsidR="00E8134E" w:rsidRDefault="00D91C8D" w:rsidP="00C015D9">
      <w:pPr>
        <w:pStyle w:val="BlockTextJ"/>
        <w:spacing w:line="360" w:lineRule="auto"/>
      </w:pPr>
      <w:r>
        <w:t>[</w:t>
      </w:r>
      <w:r w:rsidR="000B431D">
        <w:t>[</w:t>
      </w:r>
      <w:r w:rsidR="00E8134E" w:rsidRPr="00E8134E">
        <w:t>AN ACT</w:t>
      </w:r>
      <w:r w:rsidR="000B431D">
        <w:t>]</w:t>
      </w:r>
      <w:r w:rsidR="00E8134E" w:rsidRPr="00E8134E">
        <w:t xml:space="preserve"> relating to [energy][energy and the environment][[climate change mitigation, adaptation]</w:t>
      </w:r>
      <w:r w:rsidR="003746F1">
        <w:t>[,</w:t>
      </w:r>
      <w:r w:rsidR="00E8134E" w:rsidRPr="00E8134E">
        <w:t xml:space="preserve"> </w:t>
      </w:r>
      <w:r w:rsidR="009C0F06">
        <w:t xml:space="preserve">and </w:t>
      </w:r>
      <w:r w:rsidR="00E8134E" w:rsidRPr="00E8134E">
        <w:t xml:space="preserve">[climate] resiliency]; creating </w:t>
      </w:r>
      <w:r w:rsidR="00E8134E">
        <w:t>a comprehensive regulatory program to reduce greenhouse gas emissions</w:t>
      </w:r>
      <w:r w:rsidR="00C015D9">
        <w:t xml:space="preserve"> in order to improve the health and welfare of the people of the [state] and advance [state’s] economic and energy profile; providing for the fixing of rates and services for public utilities that are just and reasonable and in the public interest; creating an energy analysis and planning division of the public utility commission and provid</w:t>
      </w:r>
      <w:r w:rsidR="00A404ED">
        <w:t>ing</w:t>
      </w:r>
      <w:r w:rsidR="00C015D9">
        <w:t xml:space="preserve"> for its duties and </w:t>
      </w:r>
      <w:r w:rsidR="00A404ED">
        <w:t>responsibilities; establishing a public utility liaison charged with coordinating the energy policy of the state with other energy and environmental officials; creating an office of energy and providing for its duties and responsibilities</w:t>
      </w:r>
      <w:r w:rsidR="00B749C8">
        <w:t>.</w:t>
      </w:r>
      <w:r w:rsidR="00A03FCC">
        <w:rPr>
          <w:rStyle w:val="FootnoteReference"/>
        </w:rPr>
        <w:footnoteReference w:id="12"/>
      </w:r>
    </w:p>
    <w:p w14:paraId="5710B9C4" w14:textId="77777777" w:rsidR="00C015D9" w:rsidRPr="00C015D9" w:rsidRDefault="00C015D9" w:rsidP="00C015D9">
      <w:pPr>
        <w:spacing w:after="240" w:line="360" w:lineRule="auto"/>
        <w:jc w:val="both"/>
        <w:rPr>
          <w:b/>
          <w:bCs/>
        </w:rPr>
      </w:pPr>
      <w:r w:rsidRPr="00C015D9">
        <w:rPr>
          <w:b/>
          <w:bCs/>
        </w:rPr>
        <w:t>Part 1. Short title</w:t>
      </w:r>
    </w:p>
    <w:p w14:paraId="79D38AB1" w14:textId="76B4E503" w:rsidR="00C015D9" w:rsidRPr="00C015D9" w:rsidRDefault="00C015D9" w:rsidP="00C015D9">
      <w:pPr>
        <w:spacing w:after="240" w:line="360" w:lineRule="auto"/>
        <w:jc w:val="both"/>
      </w:pPr>
      <w:r w:rsidRPr="00C015D9">
        <w:t>This Subtitle shall be known and may be cited as the “Climate Mitigation and Adaptation Plan.</w:t>
      </w:r>
      <w:r w:rsidR="009C0F06">
        <w:t>”</w:t>
      </w:r>
      <w:r w:rsidRPr="00C015D9">
        <w:t xml:space="preserve"> </w:t>
      </w:r>
    </w:p>
    <w:p w14:paraId="1D932E7B" w14:textId="77777777" w:rsidR="00C015D9" w:rsidRPr="00C015D9" w:rsidRDefault="00C015D9" w:rsidP="00C015D9">
      <w:pPr>
        <w:spacing w:after="240" w:line="360" w:lineRule="auto"/>
        <w:jc w:val="both"/>
        <w:rPr>
          <w:b/>
          <w:bCs/>
        </w:rPr>
      </w:pPr>
      <w:r w:rsidRPr="00C015D9">
        <w:rPr>
          <w:b/>
          <w:bCs/>
        </w:rPr>
        <w:t>Part 2. Findings and declaration of policy</w:t>
      </w:r>
    </w:p>
    <w:p w14:paraId="4AF2EC09" w14:textId="13AC2257" w:rsidR="00C015D9" w:rsidRDefault="00C015D9" w:rsidP="00C015D9">
      <w:pPr>
        <w:spacing w:after="240" w:line="360" w:lineRule="auto"/>
        <w:jc w:val="both"/>
      </w:pPr>
      <w:r w:rsidRPr="00C015D9">
        <w:t xml:space="preserve">The legislature finds and declares that to ensure the viability of the state’s natural resources, to provide a continuing renewable and resilient energy source for the citizens and business of [state], to promote economic development through job retention and creation in [state], and to ensure the unique economic, climatic, and geographic conditions of this state are considered in the formulation and implementation of clean energy transition, it is the public policy of this state, as a matter of public interest, health, safety, and welfare to provide for a coordinated </w:t>
      </w:r>
      <w:proofErr w:type="spellStart"/>
      <w:r w:rsidRPr="00C015D9">
        <w:t>statewide</w:t>
      </w:r>
      <w:proofErr w:type="spellEnd"/>
      <w:r w:rsidRPr="00C015D9">
        <w:t xml:space="preserve"> program related to the transition to a clean, renewable, and resilient power grid.</w:t>
      </w:r>
    </w:p>
    <w:p w14:paraId="6E69B96F" w14:textId="77777777" w:rsidR="00717B28" w:rsidRDefault="00717B28" w:rsidP="00C015D9">
      <w:pPr>
        <w:spacing w:after="240" w:line="360" w:lineRule="auto"/>
        <w:jc w:val="both"/>
        <w:rPr>
          <w:b/>
          <w:bCs/>
        </w:rPr>
      </w:pPr>
    </w:p>
    <w:p w14:paraId="1C666E50" w14:textId="77777777" w:rsidR="00717B28" w:rsidRDefault="00717B28" w:rsidP="00C015D9">
      <w:pPr>
        <w:spacing w:after="240" w:line="360" w:lineRule="auto"/>
        <w:jc w:val="both"/>
        <w:rPr>
          <w:b/>
          <w:bCs/>
        </w:rPr>
      </w:pPr>
    </w:p>
    <w:p w14:paraId="1C7C9B0E" w14:textId="77777777" w:rsidR="00717B28" w:rsidRDefault="00717B28" w:rsidP="00C015D9">
      <w:pPr>
        <w:spacing w:after="240" w:line="360" w:lineRule="auto"/>
        <w:jc w:val="both"/>
        <w:rPr>
          <w:b/>
          <w:bCs/>
        </w:rPr>
      </w:pPr>
    </w:p>
    <w:p w14:paraId="4F621CAF" w14:textId="20A2B168" w:rsidR="00717B28" w:rsidRDefault="00C015D9" w:rsidP="00C015D9">
      <w:pPr>
        <w:spacing w:after="240" w:line="360" w:lineRule="auto"/>
        <w:jc w:val="both"/>
        <w:rPr>
          <w:b/>
          <w:bCs/>
        </w:rPr>
      </w:pPr>
      <w:r w:rsidRPr="0015266C">
        <w:rPr>
          <w:b/>
          <w:bCs/>
        </w:rPr>
        <w:lastRenderedPageBreak/>
        <w:t>[</w:t>
      </w:r>
      <w:r w:rsidRPr="00A404ED">
        <w:rPr>
          <w:b/>
          <w:bCs/>
          <w:i/>
          <w:iCs/>
        </w:rPr>
        <w:t>Operative Sections:</w:t>
      </w:r>
      <w:r w:rsidRPr="0015266C">
        <w:rPr>
          <w:b/>
          <w:bCs/>
        </w:rPr>
        <w:t>]</w:t>
      </w:r>
      <w:r w:rsidR="0015266C">
        <w:rPr>
          <w:rStyle w:val="FootnoteReference"/>
          <w:b/>
          <w:bCs/>
        </w:rPr>
        <w:footnoteReference w:id="13"/>
      </w:r>
    </w:p>
    <w:p w14:paraId="5889F6FB" w14:textId="08AF7D2F" w:rsidR="00C015D9" w:rsidRPr="00C015D9" w:rsidRDefault="00C015D9" w:rsidP="00C015D9">
      <w:pPr>
        <w:spacing w:after="240" w:line="360" w:lineRule="auto"/>
        <w:jc w:val="both"/>
        <w:rPr>
          <w:b/>
          <w:bCs/>
        </w:rPr>
      </w:pPr>
      <w:r w:rsidRPr="00C015D9">
        <w:rPr>
          <w:b/>
          <w:bCs/>
        </w:rPr>
        <w:t>Part 3. Public Utility Commission.</w:t>
      </w:r>
      <w:r w:rsidR="0015266C">
        <w:rPr>
          <w:rStyle w:val="FootnoteReference"/>
          <w:b/>
          <w:bCs/>
        </w:rPr>
        <w:footnoteReference w:id="14"/>
      </w:r>
      <w:r w:rsidRPr="00C015D9">
        <w:rPr>
          <w:b/>
          <w:bCs/>
        </w:rPr>
        <w:t xml:space="preserve"> </w:t>
      </w:r>
    </w:p>
    <w:p w14:paraId="2C637BA2" w14:textId="77777777" w:rsidR="00C015D9" w:rsidRPr="00C015D9" w:rsidRDefault="00C015D9" w:rsidP="00C015D9">
      <w:pPr>
        <w:spacing w:after="240" w:line="360" w:lineRule="auto"/>
        <w:jc w:val="both"/>
      </w:pPr>
      <w:r w:rsidRPr="00C015D9">
        <w:tab/>
        <w:t>Section [*]. Creation</w:t>
      </w:r>
    </w:p>
    <w:p w14:paraId="070D1BFE" w14:textId="77777777" w:rsidR="00C015D9" w:rsidRPr="00C015D9" w:rsidRDefault="00C015D9" w:rsidP="00C015D9">
      <w:pPr>
        <w:spacing w:after="240" w:line="360" w:lineRule="auto"/>
        <w:jc w:val="both"/>
      </w:pPr>
      <w:r w:rsidRPr="00C015D9">
        <w:tab/>
        <w:t>Section [*]. Organization and members</w:t>
      </w:r>
    </w:p>
    <w:p w14:paraId="5F10B514" w14:textId="2EDE2A3D" w:rsidR="00C015D9" w:rsidRPr="00C015D9" w:rsidRDefault="00C015D9" w:rsidP="00C015D9">
      <w:pPr>
        <w:spacing w:after="240" w:line="360" w:lineRule="auto"/>
        <w:ind w:firstLine="720"/>
        <w:jc w:val="both"/>
      </w:pPr>
      <w:r w:rsidRPr="00C015D9">
        <w:t>Se</w:t>
      </w:r>
      <w:r w:rsidR="0015266C">
        <w:t>c</w:t>
      </w:r>
      <w:r w:rsidRPr="00C015D9">
        <w:t>tion [*]. Power to regulate rates and services / rate fixing</w:t>
      </w:r>
    </w:p>
    <w:p w14:paraId="50997A87" w14:textId="4D866EB7" w:rsidR="00C015D9" w:rsidRPr="00C015D9" w:rsidRDefault="00C015D9" w:rsidP="00C015D9">
      <w:pPr>
        <w:pStyle w:val="ListParagraph"/>
        <w:numPr>
          <w:ilvl w:val="0"/>
          <w:numId w:val="3"/>
        </w:numPr>
        <w:spacing w:after="240" w:line="360" w:lineRule="auto"/>
        <w:jc w:val="both"/>
        <w:rPr>
          <w:rFonts w:ascii="Times New Roman" w:hAnsi="Times New Roman" w:cs="Times New Roman"/>
          <w:szCs w:val="24"/>
        </w:rPr>
      </w:pPr>
      <w:r w:rsidRPr="00C015D9">
        <w:rPr>
          <w:rFonts w:ascii="Times New Roman" w:hAnsi="Times New Roman" w:cs="Times New Roman"/>
          <w:szCs w:val="24"/>
        </w:rPr>
        <w:t xml:space="preserve">The commission shall exercise all necessary power and authority over </w:t>
      </w:r>
      <w:r w:rsidR="00717B28">
        <w:rPr>
          <w:rFonts w:ascii="Times New Roman" w:hAnsi="Times New Roman" w:cs="Times New Roman"/>
          <w:szCs w:val="24"/>
        </w:rPr>
        <w:t xml:space="preserve">any public utility subject </w:t>
      </w:r>
      <w:r w:rsidR="005E3FAA">
        <w:rPr>
          <w:rFonts w:ascii="Times New Roman" w:hAnsi="Times New Roman" w:cs="Times New Roman"/>
          <w:szCs w:val="24"/>
        </w:rPr>
        <w:t xml:space="preserve">to </w:t>
      </w:r>
      <w:r w:rsidR="00717B28">
        <w:rPr>
          <w:rFonts w:ascii="Times New Roman" w:hAnsi="Times New Roman" w:cs="Times New Roman"/>
          <w:szCs w:val="24"/>
        </w:rPr>
        <w:t xml:space="preserve">its jurisdiction </w:t>
      </w:r>
      <w:r w:rsidRPr="00C015D9">
        <w:rPr>
          <w:rFonts w:ascii="Times New Roman" w:hAnsi="Times New Roman" w:cs="Times New Roman"/>
          <w:szCs w:val="24"/>
        </w:rPr>
        <w:t xml:space="preserve">for the purpose of fixing and regulating the just and reasonable rates charged or to be charged and service furnished by such public utilities. </w:t>
      </w:r>
    </w:p>
    <w:p w14:paraId="001C16FB" w14:textId="534C560D" w:rsidR="00C015D9" w:rsidRPr="00C015D9" w:rsidRDefault="00C015D9" w:rsidP="00C015D9">
      <w:pPr>
        <w:pStyle w:val="ListParagraph"/>
        <w:numPr>
          <w:ilvl w:val="0"/>
          <w:numId w:val="3"/>
        </w:numPr>
        <w:spacing w:after="240" w:line="360" w:lineRule="auto"/>
        <w:jc w:val="both"/>
        <w:rPr>
          <w:rFonts w:ascii="Times New Roman" w:hAnsi="Times New Roman" w:cs="Times New Roman"/>
          <w:szCs w:val="24"/>
        </w:rPr>
      </w:pPr>
      <w:r w:rsidRPr="00C015D9">
        <w:rPr>
          <w:rFonts w:ascii="Times New Roman" w:hAnsi="Times New Roman" w:cs="Times New Roman"/>
          <w:szCs w:val="24"/>
        </w:rPr>
        <w:t xml:space="preserve">In fixing the just and reasonable rates </w:t>
      </w:r>
      <w:r w:rsidR="00B17A0A">
        <w:rPr>
          <w:rFonts w:ascii="Times New Roman" w:hAnsi="Times New Roman" w:cs="Times New Roman"/>
          <w:szCs w:val="24"/>
        </w:rPr>
        <w:t xml:space="preserve">charged or </w:t>
      </w:r>
      <w:r w:rsidRPr="00C015D9">
        <w:rPr>
          <w:rFonts w:ascii="Times New Roman" w:hAnsi="Times New Roman" w:cs="Times New Roman"/>
          <w:szCs w:val="24"/>
        </w:rPr>
        <w:t xml:space="preserve">to be charged and service furnished by all public utilities under its jurisdiction, the commission is authorized and directed to consider and act in the public interest. All rules and regulations made </w:t>
      </w:r>
      <w:r w:rsidR="00C532F3">
        <w:rPr>
          <w:rFonts w:ascii="Times New Roman" w:hAnsi="Times New Roman" w:cs="Times New Roman"/>
          <w:szCs w:val="24"/>
        </w:rPr>
        <w:t xml:space="preserve">by </w:t>
      </w:r>
      <w:r w:rsidRPr="00C015D9">
        <w:rPr>
          <w:rFonts w:ascii="Times New Roman" w:hAnsi="Times New Roman" w:cs="Times New Roman"/>
          <w:szCs w:val="24"/>
        </w:rPr>
        <w:t xml:space="preserve">the commission or by a public utility affecting or pertaining to rates, charges, or service to the public shall be just and reasonable. For purposes of this section, the scope of “just and reasonable” may include, but shall not be limited to, the efficiency, sufficiency, and adequacy of the facilities provided and the services rendered; the cost of providing such service and the value of such service to the public; the ability of the utility to improve such service and facilities; </w:t>
      </w:r>
      <w:r w:rsidR="00B17A0A">
        <w:rPr>
          <w:rFonts w:ascii="Times New Roman" w:hAnsi="Times New Roman" w:cs="Times New Roman"/>
          <w:szCs w:val="24"/>
        </w:rPr>
        <w:t xml:space="preserve">the </w:t>
      </w:r>
      <w:r w:rsidRPr="00C015D9">
        <w:rPr>
          <w:rFonts w:ascii="Times New Roman" w:hAnsi="Times New Roman" w:cs="Times New Roman"/>
          <w:szCs w:val="24"/>
        </w:rPr>
        <w:t xml:space="preserve">economic impact of charges on each category of customer; </w:t>
      </w:r>
      <w:r w:rsidR="00483324">
        <w:rPr>
          <w:rFonts w:ascii="Times New Roman" w:hAnsi="Times New Roman" w:cs="Times New Roman"/>
          <w:szCs w:val="24"/>
        </w:rPr>
        <w:t xml:space="preserve">the </w:t>
      </w:r>
      <w:r w:rsidRPr="00C015D9">
        <w:rPr>
          <w:rFonts w:ascii="Times New Roman" w:hAnsi="Times New Roman" w:cs="Times New Roman"/>
          <w:szCs w:val="24"/>
        </w:rPr>
        <w:t>means of encouraging energy conservation and efficiency</w:t>
      </w:r>
      <w:r w:rsidR="00FA1B22">
        <w:rPr>
          <w:rFonts w:ascii="Times New Roman" w:hAnsi="Times New Roman" w:cs="Times New Roman"/>
          <w:szCs w:val="24"/>
        </w:rPr>
        <w:t>;</w:t>
      </w:r>
      <w:r w:rsidRPr="00C015D9">
        <w:rPr>
          <w:rFonts w:ascii="Times New Roman" w:hAnsi="Times New Roman" w:cs="Times New Roman"/>
          <w:szCs w:val="24"/>
        </w:rPr>
        <w:t xml:space="preserve"> the generation and use of renewable energy resources; </w:t>
      </w:r>
      <w:r w:rsidR="005B6CE1">
        <w:rPr>
          <w:rFonts w:ascii="Times New Roman" w:hAnsi="Times New Roman" w:cs="Times New Roman"/>
          <w:szCs w:val="24"/>
        </w:rPr>
        <w:t xml:space="preserve">energy security and resiliency; </w:t>
      </w:r>
      <w:r w:rsidRPr="00C015D9">
        <w:rPr>
          <w:rFonts w:ascii="Times New Roman" w:hAnsi="Times New Roman" w:cs="Times New Roman"/>
          <w:szCs w:val="24"/>
        </w:rPr>
        <w:t xml:space="preserve">and other relevant environmental </w:t>
      </w:r>
      <w:r w:rsidR="00C532F3">
        <w:rPr>
          <w:rFonts w:ascii="Times New Roman" w:hAnsi="Times New Roman" w:cs="Times New Roman"/>
          <w:szCs w:val="24"/>
        </w:rPr>
        <w:t>costs, benefits, and risk mitigation factors</w:t>
      </w:r>
      <w:r w:rsidR="005B6CE1">
        <w:rPr>
          <w:rFonts w:ascii="Times New Roman" w:hAnsi="Times New Roman" w:cs="Times New Roman"/>
          <w:szCs w:val="24"/>
        </w:rPr>
        <w:t xml:space="preserve"> [,including the preservation of environmental quality and the </w:t>
      </w:r>
      <w:r w:rsidR="005B6CE1">
        <w:rPr>
          <w:rFonts w:ascii="Times New Roman" w:hAnsi="Times New Roman" w:cs="Times New Roman"/>
          <w:szCs w:val="24"/>
        </w:rPr>
        <w:lastRenderedPageBreak/>
        <w:t>consideration of climate effects] [including reductions in greenhouse gas emissions and the state’s climate commitments] [including the potential costs of carbon]</w:t>
      </w:r>
      <w:r w:rsidRPr="00C015D9">
        <w:rPr>
          <w:rFonts w:ascii="Times New Roman" w:hAnsi="Times New Roman" w:cs="Times New Roman"/>
          <w:szCs w:val="24"/>
        </w:rPr>
        <w:t>.</w:t>
      </w:r>
      <w:r w:rsidR="005B6CE1">
        <w:rPr>
          <w:rStyle w:val="FootnoteReference"/>
          <w:rFonts w:ascii="Times New Roman" w:hAnsi="Times New Roman" w:cs="Times New Roman"/>
          <w:szCs w:val="24"/>
        </w:rPr>
        <w:footnoteReference w:id="15"/>
      </w:r>
    </w:p>
    <w:p w14:paraId="2F39CAD9" w14:textId="77777777" w:rsidR="00C015D9" w:rsidRPr="00C015D9" w:rsidRDefault="00C015D9" w:rsidP="00C015D9">
      <w:pPr>
        <w:spacing w:after="240" w:line="360" w:lineRule="auto"/>
        <w:ind w:firstLine="720"/>
        <w:jc w:val="both"/>
      </w:pPr>
      <w:r w:rsidRPr="00C015D9">
        <w:t>Section [*]. Jurisdiction, Powers, and Duties Generally</w:t>
      </w:r>
    </w:p>
    <w:p w14:paraId="28097B56" w14:textId="77777777" w:rsidR="00C015D9" w:rsidRPr="00C015D9" w:rsidRDefault="00C015D9" w:rsidP="00C015D9">
      <w:pPr>
        <w:spacing w:after="240" w:line="360" w:lineRule="auto"/>
        <w:ind w:firstLine="720"/>
        <w:jc w:val="both"/>
      </w:pPr>
      <w:r w:rsidRPr="00C015D9">
        <w:t>Section [*]. Energy Analysis &amp; Planning Division</w:t>
      </w:r>
    </w:p>
    <w:p w14:paraId="752927CE" w14:textId="06C78DC1" w:rsidR="00C015D9" w:rsidRPr="00915EC6" w:rsidRDefault="00C015D9" w:rsidP="00C015D9">
      <w:pPr>
        <w:pStyle w:val="ListParagraph"/>
        <w:numPr>
          <w:ilvl w:val="0"/>
          <w:numId w:val="4"/>
        </w:numPr>
        <w:spacing w:after="240" w:line="360" w:lineRule="auto"/>
        <w:jc w:val="both"/>
        <w:rPr>
          <w:rFonts w:ascii="Times New Roman" w:hAnsi="Times New Roman" w:cs="Times New Roman"/>
          <w:szCs w:val="24"/>
        </w:rPr>
      </w:pPr>
      <w:r w:rsidRPr="00C015D9">
        <w:rPr>
          <w:rFonts w:ascii="Times New Roman" w:hAnsi="Times New Roman" w:cs="Times New Roman"/>
          <w:szCs w:val="24"/>
        </w:rPr>
        <w:t>In order to assist the commission in making an examination of the affairs of any person providing a public service or public utilities business in [state] concerning matters affecting services and rates charged [state] consumer</w:t>
      </w:r>
      <w:r w:rsidR="00717B28">
        <w:rPr>
          <w:rFonts w:ascii="Times New Roman" w:hAnsi="Times New Roman" w:cs="Times New Roman"/>
          <w:szCs w:val="24"/>
        </w:rPr>
        <w:t>s</w:t>
      </w:r>
      <w:r w:rsidRPr="00C015D9">
        <w:rPr>
          <w:rFonts w:ascii="Times New Roman" w:hAnsi="Times New Roman" w:cs="Times New Roman"/>
          <w:szCs w:val="24"/>
        </w:rPr>
        <w:t xml:space="preserve"> by such public service or public utility business, or for representing the commission in matters affecting services and rates charged by public utilities to consumers within its jurisdiction or the judicial review thereof, there is hereby established an energy analysis and planning division of the </w:t>
      </w:r>
      <w:r w:rsidR="00FA1B22" w:rsidRPr="00915EC6">
        <w:rPr>
          <w:rFonts w:ascii="Times New Roman" w:hAnsi="Times New Roman" w:cs="Times New Roman"/>
          <w:szCs w:val="24"/>
        </w:rPr>
        <w:t>p</w:t>
      </w:r>
      <w:r w:rsidRPr="00915EC6">
        <w:rPr>
          <w:rFonts w:ascii="Times New Roman" w:hAnsi="Times New Roman" w:cs="Times New Roman"/>
          <w:szCs w:val="24"/>
        </w:rPr>
        <w:t xml:space="preserve">ublic </w:t>
      </w:r>
      <w:r w:rsidR="00FA1B22" w:rsidRPr="00915EC6">
        <w:rPr>
          <w:rFonts w:ascii="Times New Roman" w:hAnsi="Times New Roman" w:cs="Times New Roman"/>
          <w:szCs w:val="24"/>
        </w:rPr>
        <w:t>u</w:t>
      </w:r>
      <w:r w:rsidRPr="00915EC6">
        <w:rPr>
          <w:rFonts w:ascii="Times New Roman" w:hAnsi="Times New Roman" w:cs="Times New Roman"/>
          <w:szCs w:val="24"/>
        </w:rPr>
        <w:t xml:space="preserve">tility </w:t>
      </w:r>
      <w:r w:rsidR="00FA1B22" w:rsidRPr="00915EC6">
        <w:rPr>
          <w:rFonts w:ascii="Times New Roman" w:hAnsi="Times New Roman" w:cs="Times New Roman"/>
          <w:szCs w:val="24"/>
        </w:rPr>
        <w:t>c</w:t>
      </w:r>
      <w:r w:rsidRPr="00915EC6">
        <w:rPr>
          <w:rFonts w:ascii="Times New Roman" w:hAnsi="Times New Roman" w:cs="Times New Roman"/>
          <w:szCs w:val="24"/>
        </w:rPr>
        <w:t xml:space="preserve">ommission. </w:t>
      </w:r>
      <w:r w:rsidR="00AB53CC">
        <w:rPr>
          <w:rFonts w:ascii="Times New Roman" w:hAnsi="Times New Roman" w:cs="Times New Roman"/>
          <w:szCs w:val="24"/>
        </w:rPr>
        <w:t xml:space="preserve">The energy analysis and planning division shall act at the direction of the commission. </w:t>
      </w:r>
    </w:p>
    <w:p w14:paraId="46E8FAC1" w14:textId="0970759E" w:rsidR="00C015D9" w:rsidRDefault="00C015D9" w:rsidP="00C015D9">
      <w:pPr>
        <w:pStyle w:val="ListParagraph"/>
        <w:numPr>
          <w:ilvl w:val="0"/>
          <w:numId w:val="4"/>
        </w:numPr>
        <w:spacing w:after="240" w:line="360" w:lineRule="auto"/>
        <w:jc w:val="both"/>
        <w:rPr>
          <w:rFonts w:ascii="Times New Roman" w:hAnsi="Times New Roman" w:cs="Times New Roman"/>
          <w:szCs w:val="24"/>
        </w:rPr>
      </w:pPr>
      <w:r w:rsidRPr="00C015D9">
        <w:rPr>
          <w:rFonts w:ascii="Times New Roman" w:hAnsi="Times New Roman" w:cs="Times New Roman"/>
          <w:szCs w:val="24"/>
        </w:rPr>
        <w:t>The energy analysis and planning division is hereby charged with monitoring electric and gas utility energy efficiency, conservation, demand reduction, and related programs; tracking energy and demand reduction targets, goals, review programs; participating in studies concerning energy policy; analyzing alternative regulatory approaches for energy policy; and providing support to commissioners for activities pertaining to energy, environmental regulations, energy efficiency, and renewables.</w:t>
      </w:r>
    </w:p>
    <w:p w14:paraId="72E88DC2" w14:textId="5C1D9739" w:rsidR="00C015D9" w:rsidRDefault="00C015D9" w:rsidP="00C015D9">
      <w:pPr>
        <w:pStyle w:val="ListParagraph"/>
        <w:numPr>
          <w:ilvl w:val="0"/>
          <w:numId w:val="4"/>
        </w:numPr>
        <w:spacing w:after="240" w:line="360" w:lineRule="auto"/>
        <w:jc w:val="both"/>
        <w:rPr>
          <w:rFonts w:ascii="Times New Roman" w:hAnsi="Times New Roman" w:cs="Times New Roman"/>
          <w:szCs w:val="24"/>
        </w:rPr>
      </w:pPr>
      <w:r w:rsidRPr="00C015D9">
        <w:rPr>
          <w:rFonts w:ascii="Times New Roman" w:hAnsi="Times New Roman" w:cs="Times New Roman"/>
          <w:szCs w:val="24"/>
        </w:rPr>
        <w:t xml:space="preserve">The energy analysis and planning division is directed to provide for, and assume primary responsibility for, establishing and maintaining continuous liaison with all other appropriate state and federal agencies whose policy decisions and rulemaking authority affect those utilities over which the commission has primary regulatory jurisdiction, including but not limited to the department of natural resources, department of environmental quality, and the state energy office. Active participation in other agencies’ public hearings is encouraged to transmit the commission’s policy positions and information requirements in order to provide for more efficient regulation. </w:t>
      </w:r>
    </w:p>
    <w:p w14:paraId="6A69C61C" w14:textId="00AFE71A" w:rsidR="008371E0" w:rsidRPr="00C015D9" w:rsidRDefault="008371E0" w:rsidP="008371E0">
      <w:pPr>
        <w:pStyle w:val="ListParagraph"/>
        <w:numPr>
          <w:ilvl w:val="0"/>
          <w:numId w:val="4"/>
        </w:numPr>
        <w:spacing w:after="240" w:line="360" w:lineRule="auto"/>
        <w:jc w:val="both"/>
        <w:rPr>
          <w:rFonts w:ascii="Times New Roman" w:hAnsi="Times New Roman" w:cs="Times New Roman"/>
          <w:szCs w:val="24"/>
        </w:rPr>
      </w:pPr>
      <w:r>
        <w:rPr>
          <w:rFonts w:ascii="Times New Roman" w:hAnsi="Times New Roman" w:cs="Times New Roman"/>
          <w:szCs w:val="24"/>
        </w:rPr>
        <w:lastRenderedPageBreak/>
        <w:t xml:space="preserve">The energy analysis and planning division is authorized to coordinate with other states and the federal government in </w:t>
      </w:r>
      <w:r>
        <w:rPr>
          <w:rFonts w:ascii="Times New Roman" w:hAnsi="Times New Roman" w:cs="Times New Roman"/>
        </w:rPr>
        <w:t xml:space="preserve">promoting and coordinating interstate and intrastate public utility service and reliability of public utility energy supply and </w:t>
      </w:r>
      <w:r w:rsidRPr="00D00A08">
        <w:rPr>
          <w:rFonts w:ascii="Times New Roman" w:hAnsi="Times New Roman" w:cs="Times New Roman"/>
        </w:rPr>
        <w:t>participate in regional discus</w:t>
      </w:r>
      <w:r w:rsidRPr="00915EC6">
        <w:rPr>
          <w:rFonts w:ascii="Times New Roman" w:hAnsi="Times New Roman" w:cs="Times New Roman"/>
        </w:rPr>
        <w:t>sions, including interstate compact initiatives, related to public utility service.</w:t>
      </w:r>
    </w:p>
    <w:p w14:paraId="5E934EE6" w14:textId="66C8A6B7" w:rsidR="00C015D9" w:rsidRPr="00C015D9" w:rsidRDefault="00C015D9" w:rsidP="00C015D9">
      <w:pPr>
        <w:pStyle w:val="ListParagraph"/>
        <w:numPr>
          <w:ilvl w:val="0"/>
          <w:numId w:val="4"/>
        </w:numPr>
        <w:spacing w:after="240" w:line="360" w:lineRule="auto"/>
        <w:jc w:val="both"/>
        <w:rPr>
          <w:rFonts w:ascii="Times New Roman" w:hAnsi="Times New Roman" w:cs="Times New Roman"/>
          <w:szCs w:val="24"/>
        </w:rPr>
      </w:pPr>
      <w:r w:rsidRPr="00C015D9">
        <w:rPr>
          <w:rFonts w:ascii="Times New Roman" w:hAnsi="Times New Roman" w:cs="Times New Roman"/>
          <w:szCs w:val="24"/>
        </w:rPr>
        <w:t xml:space="preserve">The </w:t>
      </w:r>
      <w:r w:rsidR="00616DF8">
        <w:rPr>
          <w:rFonts w:ascii="Times New Roman" w:hAnsi="Times New Roman" w:cs="Times New Roman"/>
          <w:szCs w:val="24"/>
        </w:rPr>
        <w:t xml:space="preserve">energy analysis and planning </w:t>
      </w:r>
      <w:r w:rsidRPr="00C015D9">
        <w:rPr>
          <w:rFonts w:ascii="Times New Roman" w:hAnsi="Times New Roman" w:cs="Times New Roman"/>
          <w:szCs w:val="24"/>
        </w:rPr>
        <w:t>division shall consist of, but shall not be limited to, persons with training in economics, energy and environmental sciences, engineering, finance, and public policy</w:t>
      </w:r>
      <w:r w:rsidR="00717B28">
        <w:rPr>
          <w:rFonts w:ascii="Times New Roman" w:hAnsi="Times New Roman" w:cs="Times New Roman"/>
          <w:szCs w:val="24"/>
        </w:rPr>
        <w:t>,</w:t>
      </w:r>
      <w:r w:rsidRPr="00C015D9">
        <w:rPr>
          <w:rFonts w:ascii="Times New Roman" w:hAnsi="Times New Roman" w:cs="Times New Roman"/>
          <w:szCs w:val="24"/>
        </w:rPr>
        <w:t xml:space="preserve"> </w:t>
      </w:r>
      <w:r w:rsidRPr="00C015D9">
        <w:rPr>
          <w:rFonts w:ascii="Times New Roman" w:hAnsi="Times New Roman" w:cs="Times New Roman"/>
          <w:color w:val="000000"/>
          <w:szCs w:val="24"/>
        </w:rPr>
        <w:t xml:space="preserve">all of whom shall be full-time employees of the commission, and such other support staff and clerical assistants as may be necessary to make such examinations and to carry out such responsibilities. If the staff of the energy analysis and planning division is unable or insufficient to assist the commission in evaluating, reviewing, and representing the commission in matters affecting services and rates charged by public utilities to </w:t>
      </w:r>
      <w:r w:rsidR="00717B28">
        <w:rPr>
          <w:rFonts w:ascii="Times New Roman" w:hAnsi="Times New Roman" w:cs="Times New Roman"/>
          <w:color w:val="000000"/>
          <w:szCs w:val="24"/>
        </w:rPr>
        <w:t>[state]</w:t>
      </w:r>
      <w:r w:rsidRPr="00C015D9">
        <w:rPr>
          <w:rFonts w:ascii="Times New Roman" w:hAnsi="Times New Roman" w:cs="Times New Roman"/>
          <w:color w:val="000000"/>
          <w:szCs w:val="24"/>
        </w:rPr>
        <w:t xml:space="preserve"> consumers or the judicial review thereof, the commission is empowered to retain other attorneys, consultants, engineers, or support staff and clerical assistants to assist the energy analysis and planning division and to utilize the services of the other executive departments in the executive branch of state government upon mutually agreeable terms and conditions. </w:t>
      </w:r>
    </w:p>
    <w:p w14:paraId="34F5F280" w14:textId="498CDF85" w:rsidR="00C015D9" w:rsidRPr="00C015D9" w:rsidRDefault="00C015D9" w:rsidP="00717B28">
      <w:pPr>
        <w:spacing w:after="240" w:line="360" w:lineRule="auto"/>
        <w:jc w:val="both"/>
        <w:rPr>
          <w:b/>
          <w:bCs/>
        </w:rPr>
      </w:pPr>
      <w:r w:rsidRPr="00C015D9">
        <w:rPr>
          <w:b/>
          <w:bCs/>
        </w:rPr>
        <w:t>Part 4. State Energy Office.</w:t>
      </w:r>
      <w:r w:rsidRPr="00C015D9">
        <w:rPr>
          <w:rStyle w:val="FootnoteReference"/>
          <w:b/>
          <w:bCs/>
        </w:rPr>
        <w:footnoteReference w:id="16"/>
      </w:r>
    </w:p>
    <w:p w14:paraId="2BD940F9" w14:textId="77777777" w:rsidR="00C63513" w:rsidRDefault="00C015D9" w:rsidP="00C63513">
      <w:pPr>
        <w:spacing w:after="240" w:line="360" w:lineRule="auto"/>
        <w:jc w:val="both"/>
      </w:pPr>
      <w:r w:rsidRPr="00C015D9">
        <w:rPr>
          <w:b/>
          <w:bCs/>
        </w:rPr>
        <w:tab/>
      </w:r>
      <w:r w:rsidRPr="00C015D9">
        <w:t>Section [*]. State Energy Office</w:t>
      </w:r>
    </w:p>
    <w:p w14:paraId="572BA0D5" w14:textId="5BABCDD1" w:rsidR="00C015D9" w:rsidRPr="00C015D9" w:rsidRDefault="00C015D9" w:rsidP="00C63513">
      <w:pPr>
        <w:spacing w:after="240" w:line="360" w:lineRule="auto"/>
        <w:ind w:left="720"/>
        <w:jc w:val="both"/>
      </w:pPr>
      <w:r w:rsidRPr="00C015D9">
        <w:t>There is hereby created an office of energy in the [</w:t>
      </w:r>
      <w:r w:rsidR="00C63513">
        <w:t>d</w:t>
      </w:r>
      <w:r w:rsidRPr="00C015D9">
        <w:t xml:space="preserve">epartment]. The office of energy shall perform and exercise the following power, duties, functions, and responsibilities: </w:t>
      </w:r>
    </w:p>
    <w:p w14:paraId="25259075" w14:textId="77777777" w:rsidR="00C015D9" w:rsidRPr="00C015D9" w:rsidRDefault="00C015D9" w:rsidP="00C015D9">
      <w:pPr>
        <w:pStyle w:val="ListParagraph"/>
        <w:numPr>
          <w:ilvl w:val="0"/>
          <w:numId w:val="5"/>
        </w:numPr>
        <w:spacing w:after="240" w:line="360" w:lineRule="auto"/>
        <w:jc w:val="both"/>
        <w:rPr>
          <w:rFonts w:ascii="Times New Roman" w:hAnsi="Times New Roman" w:cs="Times New Roman"/>
          <w:szCs w:val="24"/>
        </w:rPr>
      </w:pPr>
      <w:r w:rsidRPr="00C015D9">
        <w:rPr>
          <w:rFonts w:ascii="Times New Roman" w:hAnsi="Times New Roman" w:cs="Times New Roman"/>
          <w:szCs w:val="24"/>
        </w:rPr>
        <w:t xml:space="preserve">Plan and execute an energy research and development program, including the formulation of energy plans and policy, the administration and implementation of energy conservation programs, and the development of technical data, analyses, </w:t>
      </w:r>
      <w:r w:rsidRPr="00C015D9">
        <w:rPr>
          <w:rFonts w:ascii="Times New Roman" w:hAnsi="Times New Roman" w:cs="Times New Roman"/>
          <w:szCs w:val="24"/>
        </w:rPr>
        <w:lastRenderedPageBreak/>
        <w:t>assessments, and forecasts relative to energy, supply, demand, utilization, technology, economics, and taxation;</w:t>
      </w:r>
    </w:p>
    <w:p w14:paraId="2D23ABD3" w14:textId="60DF1270" w:rsidR="00C015D9" w:rsidRPr="00C015D9" w:rsidRDefault="00C015D9" w:rsidP="00C015D9">
      <w:pPr>
        <w:pStyle w:val="ListParagraph"/>
        <w:numPr>
          <w:ilvl w:val="0"/>
          <w:numId w:val="5"/>
        </w:numPr>
        <w:spacing w:after="240" w:line="360" w:lineRule="auto"/>
        <w:jc w:val="both"/>
        <w:rPr>
          <w:rFonts w:ascii="Times New Roman" w:hAnsi="Times New Roman" w:cs="Times New Roman"/>
          <w:szCs w:val="24"/>
        </w:rPr>
      </w:pPr>
      <w:r w:rsidRPr="00C015D9">
        <w:rPr>
          <w:rFonts w:ascii="Times New Roman" w:hAnsi="Times New Roman" w:cs="Times New Roman"/>
          <w:szCs w:val="24"/>
        </w:rPr>
        <w:t>Administer and implement laws relating to research and development of renewable energy sources, energy conservation</w:t>
      </w:r>
      <w:r w:rsidR="000D6689">
        <w:rPr>
          <w:rFonts w:ascii="Times New Roman" w:hAnsi="Times New Roman" w:cs="Times New Roman"/>
          <w:szCs w:val="24"/>
        </w:rPr>
        <w:t xml:space="preserve"> for new and existing residential, commercial and other buildings</w:t>
      </w:r>
      <w:r w:rsidRPr="00C015D9">
        <w:rPr>
          <w:rFonts w:ascii="Times New Roman" w:hAnsi="Times New Roman" w:cs="Times New Roman"/>
          <w:szCs w:val="24"/>
        </w:rPr>
        <w:t>, energy impacted area assistance</w:t>
      </w:r>
      <w:r w:rsidR="00717B28">
        <w:rPr>
          <w:rFonts w:ascii="Times New Roman" w:hAnsi="Times New Roman" w:cs="Times New Roman"/>
          <w:szCs w:val="24"/>
        </w:rPr>
        <w:t xml:space="preserve"> and other laws related to energy conservation</w:t>
      </w:r>
      <w:r w:rsidR="003A114B">
        <w:rPr>
          <w:rFonts w:ascii="Times New Roman" w:hAnsi="Times New Roman" w:cs="Times New Roman"/>
          <w:szCs w:val="24"/>
        </w:rPr>
        <w:t xml:space="preserve"> and efficiency</w:t>
      </w:r>
      <w:r w:rsidRPr="00C015D9">
        <w:rPr>
          <w:rFonts w:ascii="Times New Roman" w:hAnsi="Times New Roman" w:cs="Times New Roman"/>
          <w:szCs w:val="24"/>
        </w:rPr>
        <w:t>;</w:t>
      </w:r>
    </w:p>
    <w:p w14:paraId="4C8396E4" w14:textId="25E36AE4" w:rsidR="00C015D9" w:rsidRPr="00C015D9" w:rsidRDefault="00C015D9" w:rsidP="00C015D9">
      <w:pPr>
        <w:pStyle w:val="ListParagraph"/>
        <w:numPr>
          <w:ilvl w:val="0"/>
          <w:numId w:val="5"/>
        </w:numPr>
        <w:spacing w:after="240" w:line="360" w:lineRule="auto"/>
        <w:jc w:val="both"/>
        <w:rPr>
          <w:rFonts w:ascii="Times New Roman" w:hAnsi="Times New Roman" w:cs="Times New Roman"/>
          <w:szCs w:val="24"/>
        </w:rPr>
      </w:pPr>
      <w:r w:rsidRPr="00C015D9">
        <w:rPr>
          <w:rFonts w:ascii="Times New Roman" w:hAnsi="Times New Roman" w:cs="Times New Roman"/>
          <w:szCs w:val="24"/>
        </w:rPr>
        <w:t xml:space="preserve">Coordinate the state’s energy plans and policy with the Public </w:t>
      </w:r>
      <w:r w:rsidR="003A114B" w:rsidRPr="00C015D9">
        <w:rPr>
          <w:rFonts w:ascii="Times New Roman" w:hAnsi="Times New Roman" w:cs="Times New Roman"/>
          <w:szCs w:val="24"/>
        </w:rPr>
        <w:t>Utility</w:t>
      </w:r>
      <w:r w:rsidRPr="00C015D9">
        <w:rPr>
          <w:rFonts w:ascii="Times New Roman" w:hAnsi="Times New Roman" w:cs="Times New Roman"/>
          <w:szCs w:val="24"/>
        </w:rPr>
        <w:t xml:space="preserve"> Commission, through the energy analysis and planning division;</w:t>
      </w:r>
    </w:p>
    <w:p w14:paraId="6F408F7A" w14:textId="68D347F3" w:rsidR="00C015D9" w:rsidRPr="00C015D9" w:rsidRDefault="00C015D9" w:rsidP="00C015D9">
      <w:pPr>
        <w:pStyle w:val="ListParagraph"/>
        <w:numPr>
          <w:ilvl w:val="0"/>
          <w:numId w:val="5"/>
        </w:numPr>
        <w:spacing w:after="240" w:line="360" w:lineRule="auto"/>
        <w:jc w:val="both"/>
        <w:rPr>
          <w:rFonts w:ascii="Times New Roman" w:hAnsi="Times New Roman" w:cs="Times New Roman"/>
          <w:szCs w:val="24"/>
        </w:rPr>
      </w:pPr>
      <w:r w:rsidRPr="00C015D9">
        <w:rPr>
          <w:rFonts w:ascii="Times New Roman" w:hAnsi="Times New Roman" w:cs="Times New Roman"/>
          <w:szCs w:val="24"/>
        </w:rPr>
        <w:t xml:space="preserve">Inform, educate, and provide materials to other agencies of the state or political subdivisions thereof and to the public on all energy related matters, with particular emphasis on energy consumption trends and their social, environmental, and economic impacts; conservation and energy efficiency; and alternative energy technologies; </w:t>
      </w:r>
    </w:p>
    <w:p w14:paraId="2E303541" w14:textId="0C7C1963" w:rsidR="00C37465" w:rsidRDefault="00C015D9" w:rsidP="00C015D9">
      <w:pPr>
        <w:pStyle w:val="ListParagraph"/>
        <w:numPr>
          <w:ilvl w:val="0"/>
          <w:numId w:val="5"/>
        </w:numPr>
        <w:spacing w:after="240" w:line="360" w:lineRule="auto"/>
        <w:jc w:val="both"/>
        <w:rPr>
          <w:rFonts w:ascii="Times New Roman" w:hAnsi="Times New Roman" w:cs="Times New Roman"/>
          <w:szCs w:val="24"/>
        </w:rPr>
      </w:pPr>
      <w:r w:rsidRPr="00C015D9">
        <w:rPr>
          <w:rFonts w:ascii="Times New Roman" w:hAnsi="Times New Roman" w:cs="Times New Roman"/>
          <w:szCs w:val="24"/>
        </w:rPr>
        <w:t>Serve as the primary manager of energy efficiency and renewable energy programs funded by the United States Department of Energy and monitor and assess the relationship and impact of federal and regional energy policies on the state’s energy policies and programs</w:t>
      </w:r>
      <w:r w:rsidR="00D00A08">
        <w:rPr>
          <w:rFonts w:ascii="Times New Roman" w:hAnsi="Times New Roman" w:cs="Times New Roman"/>
          <w:szCs w:val="24"/>
        </w:rPr>
        <w:t>; and</w:t>
      </w:r>
      <w:r w:rsidRPr="00C015D9">
        <w:rPr>
          <w:rFonts w:ascii="Times New Roman" w:hAnsi="Times New Roman" w:cs="Times New Roman"/>
          <w:szCs w:val="24"/>
        </w:rPr>
        <w:t xml:space="preserve"> </w:t>
      </w:r>
    </w:p>
    <w:p w14:paraId="1D57D853" w14:textId="722FD72B" w:rsidR="00D00A08" w:rsidRPr="00D00A08" w:rsidRDefault="00D00A08" w:rsidP="00C015D9">
      <w:pPr>
        <w:pStyle w:val="ListParagraph"/>
        <w:numPr>
          <w:ilvl w:val="0"/>
          <w:numId w:val="5"/>
        </w:numPr>
        <w:spacing w:after="240" w:line="360" w:lineRule="auto"/>
        <w:jc w:val="both"/>
        <w:rPr>
          <w:rFonts w:ascii="Times New Roman" w:hAnsi="Times New Roman" w:cs="Times New Roman"/>
          <w:szCs w:val="24"/>
        </w:rPr>
      </w:pPr>
      <w:r>
        <w:rPr>
          <w:rFonts w:ascii="Times New Roman" w:hAnsi="Times New Roman" w:cs="Times New Roman"/>
        </w:rPr>
        <w:t>Coo</w:t>
      </w:r>
      <w:r w:rsidR="006C1D3C">
        <w:rPr>
          <w:rFonts w:ascii="Times New Roman" w:hAnsi="Times New Roman" w:cs="Times New Roman"/>
        </w:rPr>
        <w:t>rdin</w:t>
      </w:r>
      <w:r>
        <w:rPr>
          <w:rFonts w:ascii="Times New Roman" w:hAnsi="Times New Roman" w:cs="Times New Roman"/>
        </w:rPr>
        <w:t xml:space="preserve">ate the state’s energy plans and policy with other states and with the federal government, promote and coordinate interstate and intrastate energy policies, and </w:t>
      </w:r>
      <w:r w:rsidRPr="00D00A08">
        <w:rPr>
          <w:rFonts w:ascii="Times New Roman" w:hAnsi="Times New Roman" w:cs="Times New Roman"/>
        </w:rPr>
        <w:t xml:space="preserve">participate in regional discussions, </w:t>
      </w:r>
      <w:r w:rsidRPr="00915EC6">
        <w:rPr>
          <w:rFonts w:ascii="Times New Roman" w:hAnsi="Times New Roman" w:cs="Times New Roman"/>
        </w:rPr>
        <w:t>including interstate compact initiatives, related to the state’s energy policies and programs.</w:t>
      </w:r>
    </w:p>
    <w:sectPr w:rsidR="00D00A08" w:rsidRPr="00D00A08" w:rsidSect="005B0761">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8BD9C" w14:textId="77777777" w:rsidR="003A1872" w:rsidRDefault="003A1872" w:rsidP="006B3189">
      <w:r>
        <w:separator/>
      </w:r>
    </w:p>
  </w:endnote>
  <w:endnote w:type="continuationSeparator" w:id="0">
    <w:p w14:paraId="69A71DEF" w14:textId="77777777" w:rsidR="003A1872" w:rsidRDefault="003A1872" w:rsidP="006B3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88081924"/>
      <w:docPartObj>
        <w:docPartGallery w:val="Page Numbers (Bottom of Page)"/>
        <w:docPartUnique/>
      </w:docPartObj>
    </w:sdtPr>
    <w:sdtEndPr>
      <w:rPr>
        <w:rStyle w:val="PageNumber"/>
      </w:rPr>
    </w:sdtEndPr>
    <w:sdtContent>
      <w:p w14:paraId="67E9371D" w14:textId="77777777" w:rsidR="00BF1559" w:rsidRDefault="00BF1559" w:rsidP="0046753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F43D41" w14:textId="77777777" w:rsidR="00BF1559" w:rsidRDefault="00BF15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6941754"/>
      <w:docPartObj>
        <w:docPartGallery w:val="Page Numbers (Bottom of Page)"/>
        <w:docPartUnique/>
      </w:docPartObj>
    </w:sdtPr>
    <w:sdtEndPr>
      <w:rPr>
        <w:rStyle w:val="PageNumber"/>
      </w:rPr>
    </w:sdtEndPr>
    <w:sdtContent>
      <w:p w14:paraId="1FFBBE39" w14:textId="276F3B62" w:rsidR="00BF1559" w:rsidRDefault="00BF1559" w:rsidP="0046753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440A9">
          <w:rPr>
            <w:rStyle w:val="PageNumber"/>
            <w:noProof/>
          </w:rPr>
          <w:t>8</w:t>
        </w:r>
        <w:r>
          <w:rPr>
            <w:rStyle w:val="PageNumber"/>
          </w:rPr>
          <w:fldChar w:fldCharType="end"/>
        </w:r>
      </w:p>
    </w:sdtContent>
  </w:sdt>
  <w:p w14:paraId="17BD4935" w14:textId="77777777" w:rsidR="00BF1559" w:rsidRDefault="00BF15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E1377" w14:textId="77777777" w:rsidR="003A1872" w:rsidRDefault="003A1872" w:rsidP="006B3189">
      <w:r>
        <w:separator/>
      </w:r>
    </w:p>
  </w:footnote>
  <w:footnote w:type="continuationSeparator" w:id="0">
    <w:p w14:paraId="30FC79A0" w14:textId="77777777" w:rsidR="003A1872" w:rsidRDefault="003A1872" w:rsidP="006B3189">
      <w:r>
        <w:continuationSeparator/>
      </w:r>
    </w:p>
  </w:footnote>
  <w:footnote w:id="1">
    <w:p w14:paraId="42D513F7" w14:textId="00599752" w:rsidR="00CD46FC" w:rsidRDefault="00CD46FC" w:rsidP="002F7471">
      <w:pPr>
        <w:pStyle w:val="FootnoteText"/>
        <w:ind w:left="0" w:firstLine="0"/>
        <w:jc w:val="both"/>
      </w:pPr>
      <w:r>
        <w:rPr>
          <w:rStyle w:val="FootnoteReference"/>
        </w:rPr>
        <w:footnoteRef/>
      </w:r>
      <w:r>
        <w:t xml:space="preserve"> Prepared by Megan K. Terrell, Partner, </w:t>
      </w:r>
      <w:proofErr w:type="spellStart"/>
      <w:r>
        <w:t>Plauché</w:t>
      </w:r>
      <w:proofErr w:type="spellEnd"/>
      <w:r>
        <w:t xml:space="preserve"> &amp; </w:t>
      </w:r>
      <w:proofErr w:type="spellStart"/>
      <w:r>
        <w:t>Carr</w:t>
      </w:r>
      <w:proofErr w:type="spellEnd"/>
      <w:r>
        <w:t xml:space="preserve"> LLP. </w:t>
      </w:r>
    </w:p>
  </w:footnote>
  <w:footnote w:id="2">
    <w:p w14:paraId="77706B9A" w14:textId="3ED7EC2B" w:rsidR="00CD46FC" w:rsidRPr="00F655D6" w:rsidRDefault="00CD46FC" w:rsidP="002F7471">
      <w:pPr>
        <w:pStyle w:val="FootnoteText"/>
        <w:ind w:left="0" w:firstLine="0"/>
        <w:jc w:val="both"/>
      </w:pPr>
      <w:r>
        <w:rPr>
          <w:rStyle w:val="FootnoteReference"/>
        </w:rPr>
        <w:footnoteRef/>
      </w:r>
      <w:r>
        <w:t xml:space="preserve"> </w:t>
      </w:r>
      <w:r w:rsidR="00F655D6">
        <w:rPr>
          <w:i/>
          <w:iCs/>
        </w:rPr>
        <w:t>Model Laws for Deep Decarbonization in the United States</w:t>
      </w:r>
      <w:r w:rsidR="00F655D6">
        <w:t xml:space="preserve">, Sabin Center for Climate Change Law, Columbia   Law School, </w:t>
      </w:r>
      <w:hyperlink r:id="rId1" w:history="1">
        <w:r w:rsidR="00F655D6" w:rsidRPr="00BD0AE8">
          <w:rPr>
            <w:rStyle w:val="Hyperlink"/>
          </w:rPr>
          <w:t>http://lpdd.org</w:t>
        </w:r>
      </w:hyperlink>
      <w:r w:rsidR="00F655D6">
        <w:t xml:space="preserve"> (site last visited August 18, 2021). </w:t>
      </w:r>
    </w:p>
  </w:footnote>
  <w:footnote w:id="3">
    <w:p w14:paraId="3D2054B4" w14:textId="5A74DE4F" w:rsidR="008E1F60" w:rsidRPr="008E1F60" w:rsidRDefault="008E1F60" w:rsidP="002F7471">
      <w:pPr>
        <w:pStyle w:val="FootnoteText"/>
        <w:ind w:left="0" w:firstLine="0"/>
        <w:jc w:val="both"/>
      </w:pPr>
      <w:r>
        <w:rPr>
          <w:rStyle w:val="FootnoteReference"/>
        </w:rPr>
        <w:footnoteRef/>
      </w:r>
      <w:r>
        <w:t xml:space="preserve"> “‘Deep decarbonization’” refers to the reduction of GHG emissions over time to a level consistent with limiting global warming to 2</w:t>
      </w:r>
      <w:r>
        <w:rPr>
          <w:rFonts w:cs="Times New Roman"/>
        </w:rPr>
        <w:t>°</w:t>
      </w:r>
      <w:r>
        <w:t xml:space="preserve"> C or less, based on the scientific consensus that higher levels of warming pose an unacceptable risk of dangerous climate change.” Williams, J.H., et al. (2014). </w:t>
      </w:r>
      <w:r>
        <w:rPr>
          <w:i/>
          <w:iCs/>
        </w:rPr>
        <w:t>Pathways to Deep Decarbonization in the United States</w:t>
      </w:r>
      <w:r>
        <w:t xml:space="preserve">. The U.S. report of the Deep Decarbonization Pathways Project of the Sustainable Development Solutions Network and the Institute for Sustainable Development and International Relations. Revision with technical supplement, Nov. 16, 2015. </w:t>
      </w:r>
    </w:p>
  </w:footnote>
  <w:footnote w:id="4">
    <w:p w14:paraId="466BC48A" w14:textId="305E9225" w:rsidR="00F655D6" w:rsidRPr="00F655D6" w:rsidRDefault="00F655D6" w:rsidP="002F7471">
      <w:pPr>
        <w:pStyle w:val="FootnoteText"/>
        <w:ind w:left="0" w:firstLine="0"/>
        <w:jc w:val="both"/>
      </w:pPr>
      <w:r>
        <w:rPr>
          <w:rStyle w:val="FootnoteReference"/>
        </w:rPr>
        <w:footnoteRef/>
      </w:r>
      <w:r>
        <w:t xml:space="preserve"> Gerrard, Michael B. &amp; </w:t>
      </w:r>
      <w:proofErr w:type="spellStart"/>
      <w:r>
        <w:t>Dernbac</w:t>
      </w:r>
      <w:r w:rsidR="008E7086">
        <w:t>h</w:t>
      </w:r>
      <w:proofErr w:type="spellEnd"/>
      <w:r>
        <w:t xml:space="preserve">, John C., </w:t>
      </w:r>
      <w:r>
        <w:rPr>
          <w:i/>
          <w:iCs/>
        </w:rPr>
        <w:t>Legal Pathways to Deep Decarbonization in the United States</w:t>
      </w:r>
      <w:r>
        <w:t xml:space="preserve">, Environmental Law Institute (2019). </w:t>
      </w:r>
    </w:p>
  </w:footnote>
  <w:footnote w:id="5">
    <w:p w14:paraId="2888651F" w14:textId="4DDD064A" w:rsidR="002E223F" w:rsidRPr="001C4421" w:rsidRDefault="002E223F" w:rsidP="00DC031E">
      <w:pPr>
        <w:pStyle w:val="FootnoteText"/>
        <w:ind w:left="0" w:firstLine="0"/>
        <w:jc w:val="both"/>
      </w:pPr>
      <w:r>
        <w:rPr>
          <w:rStyle w:val="FootnoteReference"/>
        </w:rPr>
        <w:footnoteRef/>
      </w:r>
      <w:r>
        <w:t xml:space="preserve"> </w:t>
      </w:r>
      <w:r>
        <w:rPr>
          <w:i/>
          <w:iCs/>
        </w:rPr>
        <w:t>Legal Pathways to Deep Decarbonization</w:t>
      </w:r>
      <w:r>
        <w:t xml:space="preserve">, </w:t>
      </w:r>
      <w:r>
        <w:rPr>
          <w:i/>
          <w:iCs/>
        </w:rPr>
        <w:t xml:space="preserve">supra </w:t>
      </w:r>
      <w:r>
        <w:t>note 4, at 611</w:t>
      </w:r>
      <w:r w:rsidR="00AA46DC">
        <w:t xml:space="preserve">; </w:t>
      </w:r>
      <w:r w:rsidR="00AA46DC">
        <w:rPr>
          <w:i/>
          <w:iCs/>
        </w:rPr>
        <w:t>see also</w:t>
      </w:r>
      <w:r w:rsidR="00AA46DC">
        <w:t xml:space="preserve"> </w:t>
      </w:r>
      <w:proofErr w:type="spellStart"/>
      <w:r w:rsidR="00AA46DC">
        <w:t>Filipink</w:t>
      </w:r>
      <w:proofErr w:type="spellEnd"/>
      <w:r w:rsidR="00AA46DC">
        <w:t xml:space="preserve">, Eric, </w:t>
      </w:r>
      <w:r w:rsidR="00AA46DC">
        <w:rPr>
          <w:i/>
          <w:iCs/>
        </w:rPr>
        <w:t>Serving the “Public Interest” – Traditional vs Expansive Utility Regulation</w:t>
      </w:r>
      <w:r w:rsidR="00AA46DC">
        <w:t>, Harrison Institute for Public Law, Georgetown University (2009) (noting that courts typically interpret the scope of public interest regulation by analyzing the elements of legislatively delegated authority, including statutory goals, the roles of the commission and its decision-making criteria)</w:t>
      </w:r>
      <w:proofErr w:type="gramStart"/>
      <w:r w:rsidR="00AA46DC">
        <w:t>. .</w:t>
      </w:r>
      <w:proofErr w:type="gramEnd"/>
      <w:r w:rsidR="00AA46DC">
        <w:t xml:space="preserve"> </w:t>
      </w:r>
      <w:r>
        <w:t xml:space="preserve"> </w:t>
      </w:r>
    </w:p>
  </w:footnote>
  <w:footnote w:id="6">
    <w:p w14:paraId="21EBB09A" w14:textId="7CF4C00B" w:rsidR="001C4421" w:rsidRPr="001C4421" w:rsidRDefault="001C4421" w:rsidP="0015266C">
      <w:pPr>
        <w:pStyle w:val="FootnoteText"/>
      </w:pPr>
      <w:r>
        <w:rPr>
          <w:rStyle w:val="FootnoteReference"/>
        </w:rPr>
        <w:footnoteRef/>
      </w:r>
      <w:r>
        <w:t xml:space="preserve"> </w:t>
      </w:r>
      <w:r>
        <w:rPr>
          <w:i/>
          <w:iCs/>
        </w:rPr>
        <w:t>Id</w:t>
      </w:r>
      <w:r>
        <w:t>. at 612.</w:t>
      </w:r>
    </w:p>
  </w:footnote>
  <w:footnote w:id="7">
    <w:p w14:paraId="28D05178" w14:textId="393F2661" w:rsidR="001C4421" w:rsidRPr="001C4421" w:rsidRDefault="001C4421" w:rsidP="0015266C">
      <w:pPr>
        <w:pStyle w:val="FootnoteText"/>
      </w:pPr>
      <w:r>
        <w:rPr>
          <w:rStyle w:val="FootnoteReference"/>
        </w:rPr>
        <w:footnoteRef/>
      </w:r>
      <w:r>
        <w:t xml:space="preserve"> </w:t>
      </w:r>
      <w:r>
        <w:rPr>
          <w:i/>
          <w:iCs/>
        </w:rPr>
        <w:t>Id</w:t>
      </w:r>
      <w:r>
        <w:t>.</w:t>
      </w:r>
    </w:p>
  </w:footnote>
  <w:footnote w:id="8">
    <w:p w14:paraId="015736E9" w14:textId="357060AA" w:rsidR="00C17AFD" w:rsidRPr="00AA46DC" w:rsidRDefault="00C17AFD" w:rsidP="008B3E6E">
      <w:pPr>
        <w:pStyle w:val="FootnoteText"/>
        <w:ind w:left="0" w:firstLine="0"/>
        <w:rPr>
          <w:color w:val="FF0000"/>
        </w:rPr>
      </w:pPr>
      <w:r>
        <w:rPr>
          <w:rStyle w:val="FootnoteReference"/>
        </w:rPr>
        <w:footnoteRef/>
      </w:r>
      <w:r>
        <w:t xml:space="preserve"> </w:t>
      </w:r>
      <w:r w:rsidR="005B6540">
        <w:rPr>
          <w:i/>
          <w:iCs/>
        </w:rPr>
        <w:t>Compare</w:t>
      </w:r>
      <w:r>
        <w:rPr>
          <w:i/>
          <w:iCs/>
        </w:rPr>
        <w:t xml:space="preserve"> </w:t>
      </w:r>
      <w:r>
        <w:t xml:space="preserve">D.C. Code § </w:t>
      </w:r>
      <w:r w:rsidR="008B3E6E">
        <w:t xml:space="preserve">34-808.02 (requiring consideration of the public safety, the economy of the District, the conservation of natural resources, and the preservation of </w:t>
      </w:r>
      <w:r w:rsidR="008B3E6E" w:rsidRPr="00915EC6">
        <w:t>environmental quality, including effects on global climate change and the District’s public climate commitments</w:t>
      </w:r>
      <w:r w:rsidR="005B6540" w:rsidRPr="00915EC6">
        <w:t xml:space="preserve">), </w:t>
      </w:r>
      <w:r w:rsidR="005B6540" w:rsidRPr="00915EC6">
        <w:rPr>
          <w:i/>
          <w:iCs/>
        </w:rPr>
        <w:t xml:space="preserve">with </w:t>
      </w:r>
      <w:r w:rsidR="005B6540" w:rsidRPr="00915EC6">
        <w:t>Utah Code Ann. § 54-4a-6 (requiring the Division of Public Utilities to act in the public interest and consistent with</w:t>
      </w:r>
      <w:r w:rsidR="005B6540">
        <w:t xml:space="preserve"> the promotion of the safe, healt</w:t>
      </w:r>
      <w:r w:rsidR="00915EC6">
        <w:t>h</w:t>
      </w:r>
      <w:r w:rsidR="005B6540">
        <w:t>y, economic, efficient, and reliable operation of all public utilities and their service</w:t>
      </w:r>
      <w:r w:rsidR="005B6540" w:rsidRPr="00915EC6">
        <w:t>s</w:t>
      </w:r>
      <w:r w:rsidR="00915EC6" w:rsidRPr="00915EC6">
        <w:t>).</w:t>
      </w:r>
      <w:r w:rsidR="00AA46DC">
        <w:t xml:space="preserve"> </w:t>
      </w:r>
      <w:r w:rsidR="001A393D">
        <w:t xml:space="preserve">For a comprehensive list of state PUC legal authority, </w:t>
      </w:r>
      <w:r w:rsidR="001A393D">
        <w:rPr>
          <w:i/>
          <w:iCs/>
        </w:rPr>
        <w:t>see</w:t>
      </w:r>
      <w:r w:rsidR="00AA46DC">
        <w:rPr>
          <w:i/>
          <w:iCs/>
        </w:rPr>
        <w:t xml:space="preserve"> </w:t>
      </w:r>
      <w:r w:rsidR="00AA46DC">
        <w:t xml:space="preserve">Grab, Denise, </w:t>
      </w:r>
      <w:r w:rsidR="00AA46DC">
        <w:rPr>
          <w:i/>
          <w:iCs/>
        </w:rPr>
        <w:t>et al.</w:t>
      </w:r>
      <w:r w:rsidR="00AA46DC">
        <w:t>, Opportunities for Valuing Climate Impacts in U.S. State Electricity Policy, Institute for Policy Integrity, New York University School of Law</w:t>
      </w:r>
      <w:r w:rsidR="001A393D">
        <w:t>, Table 1, 3-4</w:t>
      </w:r>
      <w:r w:rsidR="00AA46DC">
        <w:t xml:space="preserve"> (April 2019).</w:t>
      </w:r>
    </w:p>
  </w:footnote>
  <w:footnote w:id="9">
    <w:p w14:paraId="1853D2A4" w14:textId="156FA982" w:rsidR="00F172C4" w:rsidRPr="00F172C4" w:rsidRDefault="00F172C4" w:rsidP="0015266C">
      <w:pPr>
        <w:pStyle w:val="FootnoteText"/>
        <w:ind w:left="0" w:firstLine="0"/>
      </w:pPr>
      <w:r>
        <w:rPr>
          <w:rStyle w:val="FootnoteReference"/>
        </w:rPr>
        <w:footnoteRef/>
      </w:r>
      <w:r>
        <w:t xml:space="preserve"> </w:t>
      </w:r>
      <w:r>
        <w:rPr>
          <w:i/>
          <w:iCs/>
        </w:rPr>
        <w:t xml:space="preserve">See </w:t>
      </w:r>
      <w:r>
        <w:t xml:space="preserve">National Association of State Energy Officials, </w:t>
      </w:r>
      <w:hyperlink r:id="rId2" w:history="1">
        <w:r w:rsidRPr="00BD0AE8">
          <w:rPr>
            <w:rStyle w:val="Hyperlink"/>
          </w:rPr>
          <w:t>https://www.naseo.org/members-states</w:t>
        </w:r>
      </w:hyperlink>
      <w:r>
        <w:t xml:space="preserve"> (providing information about each state energy office</w:t>
      </w:r>
      <w:r w:rsidR="00922AF2">
        <w:t>)</w:t>
      </w:r>
      <w:r>
        <w:t>.</w:t>
      </w:r>
    </w:p>
  </w:footnote>
  <w:footnote w:id="10">
    <w:p w14:paraId="327E1A13" w14:textId="4629167E" w:rsidR="00F172C4" w:rsidRPr="00F172C4" w:rsidRDefault="00F172C4" w:rsidP="0015266C">
      <w:pPr>
        <w:pStyle w:val="FootnoteText"/>
      </w:pPr>
      <w:r>
        <w:rPr>
          <w:rStyle w:val="FootnoteReference"/>
        </w:rPr>
        <w:footnoteRef/>
      </w:r>
      <w:r>
        <w:t xml:space="preserve"> </w:t>
      </w:r>
      <w:r>
        <w:rPr>
          <w:i/>
          <w:iCs/>
        </w:rPr>
        <w:t>Id</w:t>
      </w:r>
      <w:r>
        <w:t xml:space="preserve">. </w:t>
      </w:r>
    </w:p>
  </w:footnote>
  <w:footnote w:id="11">
    <w:p w14:paraId="6725DAB5" w14:textId="7FD61F52" w:rsidR="009D1FAF" w:rsidRPr="0087238D" w:rsidRDefault="009D1FAF" w:rsidP="0015266C">
      <w:pPr>
        <w:pStyle w:val="FootnoteText"/>
        <w:ind w:left="0" w:firstLine="0"/>
      </w:pPr>
      <w:r>
        <w:rPr>
          <w:rStyle w:val="FootnoteReference"/>
        </w:rPr>
        <w:footnoteRef/>
      </w:r>
      <w:r>
        <w:t xml:space="preserve"> </w:t>
      </w:r>
      <w:r w:rsidR="001A393D">
        <w:t xml:space="preserve">Grab, </w:t>
      </w:r>
      <w:r w:rsidR="001A393D">
        <w:rPr>
          <w:i/>
          <w:iCs/>
        </w:rPr>
        <w:t xml:space="preserve">supra </w:t>
      </w:r>
      <w:r w:rsidR="001A393D">
        <w:t xml:space="preserve">note 8, at 24. </w:t>
      </w:r>
    </w:p>
  </w:footnote>
  <w:footnote w:id="12">
    <w:p w14:paraId="27BF565B" w14:textId="7DACA31F" w:rsidR="00A03FCC" w:rsidRDefault="00A03FCC" w:rsidP="00A03FCC">
      <w:pPr>
        <w:pStyle w:val="FootnoteText"/>
        <w:ind w:left="0" w:firstLine="0"/>
        <w:jc w:val="both"/>
      </w:pPr>
      <w:r>
        <w:rPr>
          <w:rStyle w:val="FootnoteReference"/>
        </w:rPr>
        <w:footnoteRef/>
      </w:r>
      <w:r>
        <w:t xml:space="preserve"> This introductory language provides a menu of actions for policymakers. The language should be drafted to reflect the model provisions chosen by the legislator(s) based on the specific needs and objectives of the state and revised to </w:t>
      </w:r>
      <w:r w:rsidR="008B7C7B">
        <w:t>conform to</w:t>
      </w:r>
      <w:r>
        <w:t xml:space="preserve"> the existing PUC enabling legislation of that state.</w:t>
      </w:r>
    </w:p>
  </w:footnote>
  <w:footnote w:id="13">
    <w:p w14:paraId="31BBD79C" w14:textId="37F5E20F" w:rsidR="0015266C" w:rsidRDefault="0015266C" w:rsidP="0015266C">
      <w:pPr>
        <w:pStyle w:val="FootnoteText"/>
        <w:ind w:left="0" w:firstLine="0"/>
        <w:jc w:val="both"/>
      </w:pPr>
      <w:r>
        <w:rPr>
          <w:rStyle w:val="FootnoteReference"/>
        </w:rPr>
        <w:footnoteRef/>
      </w:r>
      <w:r>
        <w:t xml:space="preserve"> The operative language provided herein is specific only to the modernization of PUC statutes that provide for the alignment of PUCs with other state energy and environmental objectives, programs, and officials and the creation and/or amendment of enabling legislation related to a state energy office. As needed, </w:t>
      </w:r>
      <w:r>
        <w:rPr>
          <w:lang w:val="en-GB"/>
        </w:rPr>
        <w:t>operative language should be conformed to the priorities set out in the broader legislative or regulatory framework in which the Model Provision is to be incorporated.</w:t>
      </w:r>
    </w:p>
  </w:footnote>
  <w:footnote w:id="14">
    <w:p w14:paraId="220649A7" w14:textId="3719634B" w:rsidR="0015266C" w:rsidRDefault="0015266C" w:rsidP="0015266C">
      <w:pPr>
        <w:pStyle w:val="FootnoteText"/>
        <w:ind w:left="0" w:firstLine="0"/>
        <w:jc w:val="both"/>
      </w:pPr>
      <w:r>
        <w:rPr>
          <w:rStyle w:val="FootnoteReference"/>
        </w:rPr>
        <w:footnoteRef/>
      </w:r>
      <w:r>
        <w:t xml:space="preserve"> General organizational sections of standard state public utility commission legislation </w:t>
      </w:r>
      <w:r w:rsidR="009C0F06">
        <w:t>are</w:t>
      </w:r>
      <w:r>
        <w:t xml:space="preserve"> provided for context, with model language provisions included only for those sections related to the objective of aligning </w:t>
      </w:r>
      <w:r w:rsidR="00FA1B22">
        <w:t xml:space="preserve">public utility policy </w:t>
      </w:r>
      <w:r>
        <w:t xml:space="preserve">with </w:t>
      </w:r>
      <w:r w:rsidR="00FA1B22">
        <w:t xml:space="preserve">broader state </w:t>
      </w:r>
      <w:r>
        <w:t xml:space="preserve">energy and environmental </w:t>
      </w:r>
      <w:r w:rsidR="00FA1B22">
        <w:t>goals.</w:t>
      </w:r>
    </w:p>
  </w:footnote>
  <w:footnote w:id="15">
    <w:p w14:paraId="421646AC" w14:textId="4873DE55" w:rsidR="005B6CE1" w:rsidRDefault="005B6CE1" w:rsidP="005B6CE1">
      <w:pPr>
        <w:pStyle w:val="FootnoteText"/>
        <w:ind w:left="0" w:firstLine="0"/>
        <w:jc w:val="both"/>
      </w:pPr>
      <w:r>
        <w:rPr>
          <w:rStyle w:val="FootnoteReference"/>
        </w:rPr>
        <w:footnoteRef/>
      </w:r>
      <w:r>
        <w:t xml:space="preserve"> Bracketed language provided for policymakers </w:t>
      </w:r>
      <w:r w:rsidR="008B7C7B">
        <w:t xml:space="preserve">to choose the language that best fits the needs and objectives of the state, including those that </w:t>
      </w:r>
      <w:r>
        <w:t xml:space="preserve">may want to </w:t>
      </w:r>
      <w:r w:rsidR="008B7C7B">
        <w:t>more</w:t>
      </w:r>
      <w:r>
        <w:t xml:space="preserve"> explicitly target the consideration of decarbonization. </w:t>
      </w:r>
    </w:p>
  </w:footnote>
  <w:footnote w:id="16">
    <w:p w14:paraId="44468CCC" w14:textId="6F5BAC5D" w:rsidR="00C015D9" w:rsidRDefault="00C015D9" w:rsidP="00C63513">
      <w:pPr>
        <w:pStyle w:val="FootnoteText"/>
        <w:ind w:left="0" w:firstLine="0"/>
        <w:jc w:val="both"/>
      </w:pPr>
      <w:r>
        <w:rPr>
          <w:rStyle w:val="FootnoteReference"/>
        </w:rPr>
        <w:footnoteRef/>
      </w:r>
      <w:r>
        <w:t xml:space="preserve"> This Part is intended to create an office or division of energy in states that do not have such an office or amend the enabling legislation for the </w:t>
      </w:r>
      <w:r w:rsidR="00C63513">
        <w:t>existing office of energy</w:t>
      </w:r>
      <w:r>
        <w:t xml:space="preserve"> to provide for the duties and functions of such office, including coordination with the PUC, through the energy analysis and planning division, and </w:t>
      </w:r>
      <w:r w:rsidR="00C63513">
        <w:t>the</w:t>
      </w:r>
      <w:r>
        <w:t xml:space="preserve"> development of other</w:t>
      </w:r>
      <w:r w:rsidR="00C63513">
        <w:t xml:space="preserve"> energy</w:t>
      </w:r>
      <w:r>
        <w:t xml:space="preserve"> research and development programs as needed. The duties and functions outlined herein are intended to serve as a menu of options, subject to the needs of a particular state and the jurisdiction of the applicable department</w:t>
      </w:r>
      <w:r w:rsidR="00C63513">
        <w:t>/office</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27E87"/>
    <w:multiLevelType w:val="hybridMultilevel"/>
    <w:tmpl w:val="8878D11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8B237AF"/>
    <w:multiLevelType w:val="hybridMultilevel"/>
    <w:tmpl w:val="D8A0F06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FC4B37"/>
    <w:multiLevelType w:val="hybridMultilevel"/>
    <w:tmpl w:val="AF7A7080"/>
    <w:lvl w:ilvl="0" w:tplc="D33A02A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86697A"/>
    <w:multiLevelType w:val="hybridMultilevel"/>
    <w:tmpl w:val="2D7A027E"/>
    <w:lvl w:ilvl="0" w:tplc="112E8B7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5454EA"/>
    <w:multiLevelType w:val="hybridMultilevel"/>
    <w:tmpl w:val="DE7CE1A0"/>
    <w:lvl w:ilvl="0" w:tplc="719A7F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189"/>
    <w:rsid w:val="00001514"/>
    <w:rsid w:val="0000185A"/>
    <w:rsid w:val="000048A5"/>
    <w:rsid w:val="0001072A"/>
    <w:rsid w:val="0001355E"/>
    <w:rsid w:val="00013FEC"/>
    <w:rsid w:val="00014605"/>
    <w:rsid w:val="00021CC9"/>
    <w:rsid w:val="00022B50"/>
    <w:rsid w:val="00025DF7"/>
    <w:rsid w:val="00040152"/>
    <w:rsid w:val="00041CBD"/>
    <w:rsid w:val="000510CC"/>
    <w:rsid w:val="00065C79"/>
    <w:rsid w:val="000664DF"/>
    <w:rsid w:val="0007147C"/>
    <w:rsid w:val="00077128"/>
    <w:rsid w:val="000934AA"/>
    <w:rsid w:val="000944C7"/>
    <w:rsid w:val="00094A6C"/>
    <w:rsid w:val="0009549F"/>
    <w:rsid w:val="0009772C"/>
    <w:rsid w:val="000A1CAE"/>
    <w:rsid w:val="000B431D"/>
    <w:rsid w:val="000B6412"/>
    <w:rsid w:val="000D0821"/>
    <w:rsid w:val="000D20F6"/>
    <w:rsid w:val="000D6689"/>
    <w:rsid w:val="000E041E"/>
    <w:rsid w:val="000E1EE4"/>
    <w:rsid w:val="0010123F"/>
    <w:rsid w:val="00104BF4"/>
    <w:rsid w:val="00107A20"/>
    <w:rsid w:val="00107DB4"/>
    <w:rsid w:val="001115D6"/>
    <w:rsid w:val="0012654B"/>
    <w:rsid w:val="00141F93"/>
    <w:rsid w:val="001439BE"/>
    <w:rsid w:val="001440A9"/>
    <w:rsid w:val="00146858"/>
    <w:rsid w:val="0015266C"/>
    <w:rsid w:val="001701D4"/>
    <w:rsid w:val="001751BF"/>
    <w:rsid w:val="00176D26"/>
    <w:rsid w:val="00181BF9"/>
    <w:rsid w:val="0018534C"/>
    <w:rsid w:val="00186B84"/>
    <w:rsid w:val="00186C05"/>
    <w:rsid w:val="001A393D"/>
    <w:rsid w:val="001A6EC7"/>
    <w:rsid w:val="001B5827"/>
    <w:rsid w:val="001C4421"/>
    <w:rsid w:val="001C4F02"/>
    <w:rsid w:val="001C5CF1"/>
    <w:rsid w:val="001D0B1C"/>
    <w:rsid w:val="001D15E3"/>
    <w:rsid w:val="001E5DC1"/>
    <w:rsid w:val="0021030E"/>
    <w:rsid w:val="00212B39"/>
    <w:rsid w:val="00220D76"/>
    <w:rsid w:val="002257B5"/>
    <w:rsid w:val="00262875"/>
    <w:rsid w:val="00266DCA"/>
    <w:rsid w:val="00283AD2"/>
    <w:rsid w:val="00293C4F"/>
    <w:rsid w:val="00296459"/>
    <w:rsid w:val="002A1CDF"/>
    <w:rsid w:val="002B665F"/>
    <w:rsid w:val="002D004A"/>
    <w:rsid w:val="002D45ED"/>
    <w:rsid w:val="002D5733"/>
    <w:rsid w:val="002D6049"/>
    <w:rsid w:val="002E223F"/>
    <w:rsid w:val="002E7DED"/>
    <w:rsid w:val="002F22AA"/>
    <w:rsid w:val="002F7471"/>
    <w:rsid w:val="00307F35"/>
    <w:rsid w:val="0031232B"/>
    <w:rsid w:val="0031305E"/>
    <w:rsid w:val="00313AA7"/>
    <w:rsid w:val="00313BFA"/>
    <w:rsid w:val="00315F39"/>
    <w:rsid w:val="00316883"/>
    <w:rsid w:val="00324225"/>
    <w:rsid w:val="0033570C"/>
    <w:rsid w:val="0034181F"/>
    <w:rsid w:val="00343216"/>
    <w:rsid w:val="00344030"/>
    <w:rsid w:val="00355ED9"/>
    <w:rsid w:val="0035678A"/>
    <w:rsid w:val="00361731"/>
    <w:rsid w:val="003746F1"/>
    <w:rsid w:val="00375E7A"/>
    <w:rsid w:val="00382147"/>
    <w:rsid w:val="003879E0"/>
    <w:rsid w:val="003A0EF7"/>
    <w:rsid w:val="003A114B"/>
    <w:rsid w:val="003A1872"/>
    <w:rsid w:val="003A2D22"/>
    <w:rsid w:val="003A6934"/>
    <w:rsid w:val="003B2D18"/>
    <w:rsid w:val="003B33CB"/>
    <w:rsid w:val="003B56EC"/>
    <w:rsid w:val="003C7115"/>
    <w:rsid w:val="003C7D41"/>
    <w:rsid w:val="003D35CD"/>
    <w:rsid w:val="003D3839"/>
    <w:rsid w:val="003D530A"/>
    <w:rsid w:val="003D6743"/>
    <w:rsid w:val="003F003D"/>
    <w:rsid w:val="003F1E1A"/>
    <w:rsid w:val="003F5139"/>
    <w:rsid w:val="003F5D83"/>
    <w:rsid w:val="00400905"/>
    <w:rsid w:val="0040694F"/>
    <w:rsid w:val="004131DE"/>
    <w:rsid w:val="00440CA4"/>
    <w:rsid w:val="00444D5B"/>
    <w:rsid w:val="00447F01"/>
    <w:rsid w:val="004502F1"/>
    <w:rsid w:val="0045047B"/>
    <w:rsid w:val="004537FC"/>
    <w:rsid w:val="00453C19"/>
    <w:rsid w:val="00454400"/>
    <w:rsid w:val="00464FCC"/>
    <w:rsid w:val="00466B2D"/>
    <w:rsid w:val="00483324"/>
    <w:rsid w:val="004951D5"/>
    <w:rsid w:val="004A13A9"/>
    <w:rsid w:val="004A1FFF"/>
    <w:rsid w:val="004A2A1B"/>
    <w:rsid w:val="004A723D"/>
    <w:rsid w:val="004C25F8"/>
    <w:rsid w:val="004D0090"/>
    <w:rsid w:val="004D1BB6"/>
    <w:rsid w:val="004E39D4"/>
    <w:rsid w:val="004E4E2D"/>
    <w:rsid w:val="004F4C34"/>
    <w:rsid w:val="00502385"/>
    <w:rsid w:val="0050376A"/>
    <w:rsid w:val="005127F6"/>
    <w:rsid w:val="00514227"/>
    <w:rsid w:val="005172CA"/>
    <w:rsid w:val="00517D93"/>
    <w:rsid w:val="00525B16"/>
    <w:rsid w:val="00531E66"/>
    <w:rsid w:val="00533802"/>
    <w:rsid w:val="00550287"/>
    <w:rsid w:val="00552CF4"/>
    <w:rsid w:val="005533F3"/>
    <w:rsid w:val="00562CC6"/>
    <w:rsid w:val="00576CE5"/>
    <w:rsid w:val="005A1545"/>
    <w:rsid w:val="005A4BBB"/>
    <w:rsid w:val="005B0761"/>
    <w:rsid w:val="005B18DD"/>
    <w:rsid w:val="005B6540"/>
    <w:rsid w:val="005B6CE1"/>
    <w:rsid w:val="005C4FDA"/>
    <w:rsid w:val="005E2BF9"/>
    <w:rsid w:val="005E3FAA"/>
    <w:rsid w:val="005F3003"/>
    <w:rsid w:val="005F31CF"/>
    <w:rsid w:val="005F3EE9"/>
    <w:rsid w:val="006104FA"/>
    <w:rsid w:val="00616682"/>
    <w:rsid w:val="00616CD5"/>
    <w:rsid w:val="00616DF8"/>
    <w:rsid w:val="00620500"/>
    <w:rsid w:val="00650775"/>
    <w:rsid w:val="00671480"/>
    <w:rsid w:val="00673215"/>
    <w:rsid w:val="00674DEF"/>
    <w:rsid w:val="00675523"/>
    <w:rsid w:val="00675938"/>
    <w:rsid w:val="00682E69"/>
    <w:rsid w:val="00686123"/>
    <w:rsid w:val="00691EA5"/>
    <w:rsid w:val="00693886"/>
    <w:rsid w:val="00693E93"/>
    <w:rsid w:val="00695379"/>
    <w:rsid w:val="00697DDB"/>
    <w:rsid w:val="006A193B"/>
    <w:rsid w:val="006A20E0"/>
    <w:rsid w:val="006A2A73"/>
    <w:rsid w:val="006A69D8"/>
    <w:rsid w:val="006B0B18"/>
    <w:rsid w:val="006B3189"/>
    <w:rsid w:val="006C1D3C"/>
    <w:rsid w:val="006C31A4"/>
    <w:rsid w:val="006C33F0"/>
    <w:rsid w:val="006C4D64"/>
    <w:rsid w:val="006C66E2"/>
    <w:rsid w:val="006D4386"/>
    <w:rsid w:val="006F054A"/>
    <w:rsid w:val="006F2BBC"/>
    <w:rsid w:val="006F6EBD"/>
    <w:rsid w:val="00701A8C"/>
    <w:rsid w:val="007033D8"/>
    <w:rsid w:val="00715408"/>
    <w:rsid w:val="007158DF"/>
    <w:rsid w:val="00717B28"/>
    <w:rsid w:val="007212B0"/>
    <w:rsid w:val="0073128C"/>
    <w:rsid w:val="00733BCF"/>
    <w:rsid w:val="007445EB"/>
    <w:rsid w:val="007532C9"/>
    <w:rsid w:val="007568AB"/>
    <w:rsid w:val="00756ABD"/>
    <w:rsid w:val="0076325D"/>
    <w:rsid w:val="00763C9E"/>
    <w:rsid w:val="00772220"/>
    <w:rsid w:val="007757C9"/>
    <w:rsid w:val="007805C8"/>
    <w:rsid w:val="007864D6"/>
    <w:rsid w:val="00787A72"/>
    <w:rsid w:val="00787F3D"/>
    <w:rsid w:val="00794C36"/>
    <w:rsid w:val="00795130"/>
    <w:rsid w:val="007A0F47"/>
    <w:rsid w:val="007A1311"/>
    <w:rsid w:val="007A23EA"/>
    <w:rsid w:val="007A78B6"/>
    <w:rsid w:val="007C16A2"/>
    <w:rsid w:val="007C1D98"/>
    <w:rsid w:val="007C7CD5"/>
    <w:rsid w:val="007D5852"/>
    <w:rsid w:val="007D745E"/>
    <w:rsid w:val="007E75B8"/>
    <w:rsid w:val="007F41B9"/>
    <w:rsid w:val="00812229"/>
    <w:rsid w:val="00820015"/>
    <w:rsid w:val="008355E8"/>
    <w:rsid w:val="008371E0"/>
    <w:rsid w:val="008427AD"/>
    <w:rsid w:val="00842840"/>
    <w:rsid w:val="008468A9"/>
    <w:rsid w:val="00855517"/>
    <w:rsid w:val="0085765F"/>
    <w:rsid w:val="00860358"/>
    <w:rsid w:val="00870A0D"/>
    <w:rsid w:val="008711BB"/>
    <w:rsid w:val="0087238D"/>
    <w:rsid w:val="00882EE1"/>
    <w:rsid w:val="008912FA"/>
    <w:rsid w:val="00893A65"/>
    <w:rsid w:val="00895619"/>
    <w:rsid w:val="008A3BA5"/>
    <w:rsid w:val="008A678E"/>
    <w:rsid w:val="008B0F53"/>
    <w:rsid w:val="008B3E6E"/>
    <w:rsid w:val="008B6390"/>
    <w:rsid w:val="008B7C7B"/>
    <w:rsid w:val="008D4DF4"/>
    <w:rsid w:val="008D66B6"/>
    <w:rsid w:val="008E1F60"/>
    <w:rsid w:val="008E573F"/>
    <w:rsid w:val="008E7086"/>
    <w:rsid w:val="008F4992"/>
    <w:rsid w:val="008F61EB"/>
    <w:rsid w:val="008F725C"/>
    <w:rsid w:val="0090785F"/>
    <w:rsid w:val="00915EC6"/>
    <w:rsid w:val="0092038E"/>
    <w:rsid w:val="00922AF2"/>
    <w:rsid w:val="009273E9"/>
    <w:rsid w:val="00943BDB"/>
    <w:rsid w:val="00947C74"/>
    <w:rsid w:val="00950A21"/>
    <w:rsid w:val="009550E9"/>
    <w:rsid w:val="0095580D"/>
    <w:rsid w:val="00957C01"/>
    <w:rsid w:val="009639A0"/>
    <w:rsid w:val="00976E01"/>
    <w:rsid w:val="0098719C"/>
    <w:rsid w:val="00995901"/>
    <w:rsid w:val="009A10D6"/>
    <w:rsid w:val="009A1714"/>
    <w:rsid w:val="009A5EB5"/>
    <w:rsid w:val="009B36BB"/>
    <w:rsid w:val="009C0F06"/>
    <w:rsid w:val="009C43EF"/>
    <w:rsid w:val="009D1FAF"/>
    <w:rsid w:val="009E145A"/>
    <w:rsid w:val="009E21AD"/>
    <w:rsid w:val="009E2822"/>
    <w:rsid w:val="009E63D1"/>
    <w:rsid w:val="009E6E78"/>
    <w:rsid w:val="00A00DF5"/>
    <w:rsid w:val="00A03FCC"/>
    <w:rsid w:val="00A1647E"/>
    <w:rsid w:val="00A247ED"/>
    <w:rsid w:val="00A34818"/>
    <w:rsid w:val="00A404ED"/>
    <w:rsid w:val="00A42D4A"/>
    <w:rsid w:val="00A444B4"/>
    <w:rsid w:val="00A661D7"/>
    <w:rsid w:val="00A733F2"/>
    <w:rsid w:val="00A84CC6"/>
    <w:rsid w:val="00A86855"/>
    <w:rsid w:val="00A86FE4"/>
    <w:rsid w:val="00A95E6E"/>
    <w:rsid w:val="00AA1C7A"/>
    <w:rsid w:val="00AA46DC"/>
    <w:rsid w:val="00AA6415"/>
    <w:rsid w:val="00AB53CC"/>
    <w:rsid w:val="00AD455C"/>
    <w:rsid w:val="00AE15D4"/>
    <w:rsid w:val="00AE1F79"/>
    <w:rsid w:val="00AE4D18"/>
    <w:rsid w:val="00AF1BCF"/>
    <w:rsid w:val="00B00D11"/>
    <w:rsid w:val="00B0121F"/>
    <w:rsid w:val="00B0180C"/>
    <w:rsid w:val="00B14E0D"/>
    <w:rsid w:val="00B17A0A"/>
    <w:rsid w:val="00B21579"/>
    <w:rsid w:val="00B312E0"/>
    <w:rsid w:val="00B32121"/>
    <w:rsid w:val="00B32F24"/>
    <w:rsid w:val="00B35CE3"/>
    <w:rsid w:val="00B51279"/>
    <w:rsid w:val="00B749C8"/>
    <w:rsid w:val="00B76F11"/>
    <w:rsid w:val="00B77D31"/>
    <w:rsid w:val="00B864AF"/>
    <w:rsid w:val="00B96344"/>
    <w:rsid w:val="00BA1159"/>
    <w:rsid w:val="00BA18A1"/>
    <w:rsid w:val="00BA72E6"/>
    <w:rsid w:val="00BB3BFC"/>
    <w:rsid w:val="00BC1F1B"/>
    <w:rsid w:val="00BC2906"/>
    <w:rsid w:val="00BC4951"/>
    <w:rsid w:val="00BD1EA2"/>
    <w:rsid w:val="00BF0D80"/>
    <w:rsid w:val="00BF1559"/>
    <w:rsid w:val="00C015D9"/>
    <w:rsid w:val="00C0162E"/>
    <w:rsid w:val="00C1207E"/>
    <w:rsid w:val="00C17AFD"/>
    <w:rsid w:val="00C21FB6"/>
    <w:rsid w:val="00C24BB6"/>
    <w:rsid w:val="00C25C5F"/>
    <w:rsid w:val="00C2636D"/>
    <w:rsid w:val="00C26DC3"/>
    <w:rsid w:val="00C31A1C"/>
    <w:rsid w:val="00C36C5E"/>
    <w:rsid w:val="00C37465"/>
    <w:rsid w:val="00C4730F"/>
    <w:rsid w:val="00C532F3"/>
    <w:rsid w:val="00C577AE"/>
    <w:rsid w:val="00C63513"/>
    <w:rsid w:val="00C64450"/>
    <w:rsid w:val="00C72B9A"/>
    <w:rsid w:val="00C80A75"/>
    <w:rsid w:val="00C80CE0"/>
    <w:rsid w:val="00C941EC"/>
    <w:rsid w:val="00CA1642"/>
    <w:rsid w:val="00CA183D"/>
    <w:rsid w:val="00CA261A"/>
    <w:rsid w:val="00CA7055"/>
    <w:rsid w:val="00CC312C"/>
    <w:rsid w:val="00CD46FC"/>
    <w:rsid w:val="00CE392B"/>
    <w:rsid w:val="00CE4DF7"/>
    <w:rsid w:val="00CE7029"/>
    <w:rsid w:val="00CE750E"/>
    <w:rsid w:val="00CF2689"/>
    <w:rsid w:val="00CF4318"/>
    <w:rsid w:val="00D00A08"/>
    <w:rsid w:val="00D00ACC"/>
    <w:rsid w:val="00D02C48"/>
    <w:rsid w:val="00D1104F"/>
    <w:rsid w:val="00D1749C"/>
    <w:rsid w:val="00D2106D"/>
    <w:rsid w:val="00D234B6"/>
    <w:rsid w:val="00D2612F"/>
    <w:rsid w:val="00D2655E"/>
    <w:rsid w:val="00D31E03"/>
    <w:rsid w:val="00D41D01"/>
    <w:rsid w:val="00D44BB0"/>
    <w:rsid w:val="00D53668"/>
    <w:rsid w:val="00D678ED"/>
    <w:rsid w:val="00D679AA"/>
    <w:rsid w:val="00D8065A"/>
    <w:rsid w:val="00D91C8D"/>
    <w:rsid w:val="00D92093"/>
    <w:rsid w:val="00DB0310"/>
    <w:rsid w:val="00DB42BC"/>
    <w:rsid w:val="00DB54DE"/>
    <w:rsid w:val="00DB5A7E"/>
    <w:rsid w:val="00DC031E"/>
    <w:rsid w:val="00DC4271"/>
    <w:rsid w:val="00DC597F"/>
    <w:rsid w:val="00DD4EC3"/>
    <w:rsid w:val="00DD507B"/>
    <w:rsid w:val="00DD6314"/>
    <w:rsid w:val="00DE2628"/>
    <w:rsid w:val="00DE6EB8"/>
    <w:rsid w:val="00DE763B"/>
    <w:rsid w:val="00DF0A84"/>
    <w:rsid w:val="00DF1059"/>
    <w:rsid w:val="00DF24F0"/>
    <w:rsid w:val="00DF33EF"/>
    <w:rsid w:val="00DF6FAE"/>
    <w:rsid w:val="00E033BE"/>
    <w:rsid w:val="00E04552"/>
    <w:rsid w:val="00E0650C"/>
    <w:rsid w:val="00E10812"/>
    <w:rsid w:val="00E12968"/>
    <w:rsid w:val="00E14822"/>
    <w:rsid w:val="00E164AE"/>
    <w:rsid w:val="00E20F82"/>
    <w:rsid w:val="00E239EE"/>
    <w:rsid w:val="00E24113"/>
    <w:rsid w:val="00E25252"/>
    <w:rsid w:val="00E43C4F"/>
    <w:rsid w:val="00E45239"/>
    <w:rsid w:val="00E46006"/>
    <w:rsid w:val="00E47721"/>
    <w:rsid w:val="00E8134E"/>
    <w:rsid w:val="00E943CD"/>
    <w:rsid w:val="00E95031"/>
    <w:rsid w:val="00E96B1D"/>
    <w:rsid w:val="00EB0026"/>
    <w:rsid w:val="00EB20B1"/>
    <w:rsid w:val="00EB52E4"/>
    <w:rsid w:val="00EB5AA6"/>
    <w:rsid w:val="00EB745F"/>
    <w:rsid w:val="00EC067A"/>
    <w:rsid w:val="00EC3E51"/>
    <w:rsid w:val="00EE2249"/>
    <w:rsid w:val="00EF0228"/>
    <w:rsid w:val="00EF35BA"/>
    <w:rsid w:val="00EF795C"/>
    <w:rsid w:val="00F031C2"/>
    <w:rsid w:val="00F07560"/>
    <w:rsid w:val="00F10999"/>
    <w:rsid w:val="00F1135B"/>
    <w:rsid w:val="00F1222A"/>
    <w:rsid w:val="00F14B71"/>
    <w:rsid w:val="00F172C4"/>
    <w:rsid w:val="00F246CF"/>
    <w:rsid w:val="00F41E79"/>
    <w:rsid w:val="00F61D8A"/>
    <w:rsid w:val="00F63A92"/>
    <w:rsid w:val="00F655D6"/>
    <w:rsid w:val="00F75968"/>
    <w:rsid w:val="00F76DB0"/>
    <w:rsid w:val="00F92E74"/>
    <w:rsid w:val="00FA1B22"/>
    <w:rsid w:val="00FB2BCD"/>
    <w:rsid w:val="00FC5FC1"/>
    <w:rsid w:val="00FD177D"/>
    <w:rsid w:val="00FD5FA9"/>
    <w:rsid w:val="00FE2059"/>
    <w:rsid w:val="00FF39B9"/>
    <w:rsid w:val="00FF39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D5A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80C"/>
    <w:rPr>
      <w:rFonts w:ascii="Times New Roman" w:eastAsia="Times New Roman" w:hAnsi="Times New Roman" w:cs="Times New Roman"/>
    </w:rPr>
  </w:style>
  <w:style w:type="paragraph" w:styleId="Heading1">
    <w:name w:val="heading 1"/>
    <w:basedOn w:val="Normal"/>
    <w:link w:val="Heading1Char"/>
    <w:uiPriority w:val="9"/>
    <w:qFormat/>
    <w:rsid w:val="00F031C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J">
    <w:name w:val="Block Text J"/>
    <w:basedOn w:val="Normal"/>
    <w:qFormat/>
    <w:rsid w:val="006B3189"/>
    <w:pPr>
      <w:spacing w:after="240"/>
      <w:jc w:val="both"/>
    </w:pPr>
    <w:rPr>
      <w:rFonts w:eastAsiaTheme="minorHAnsi" w:cstheme="minorBidi"/>
      <w:lang w:val="en-US"/>
    </w:rPr>
  </w:style>
  <w:style w:type="paragraph" w:styleId="FootnoteText">
    <w:name w:val="footnote text"/>
    <w:basedOn w:val="Normal"/>
    <w:next w:val="Normal"/>
    <w:link w:val="FootnoteTextChar"/>
    <w:uiPriority w:val="99"/>
    <w:rsid w:val="006B3189"/>
    <w:pPr>
      <w:spacing w:after="200"/>
      <w:ind w:left="720" w:hanging="720"/>
    </w:pPr>
    <w:rPr>
      <w:rFonts w:eastAsiaTheme="minorHAnsi" w:cstheme="minorBidi"/>
      <w:sz w:val="20"/>
      <w:szCs w:val="20"/>
      <w:lang w:val="en-US"/>
    </w:rPr>
  </w:style>
  <w:style w:type="character" w:customStyle="1" w:styleId="FootnoteTextChar">
    <w:name w:val="Footnote Text Char"/>
    <w:basedOn w:val="DefaultParagraphFont"/>
    <w:link w:val="FootnoteText"/>
    <w:uiPriority w:val="99"/>
    <w:rsid w:val="006B3189"/>
    <w:rPr>
      <w:rFonts w:ascii="Times New Roman" w:hAnsi="Times New Roman"/>
      <w:sz w:val="20"/>
      <w:szCs w:val="20"/>
      <w:lang w:val="en-US"/>
    </w:rPr>
  </w:style>
  <w:style w:type="character" w:styleId="FootnoteReference">
    <w:name w:val="footnote reference"/>
    <w:basedOn w:val="DefaultParagraphFont"/>
    <w:uiPriority w:val="99"/>
    <w:semiHidden/>
    <w:unhideWhenUsed/>
    <w:rsid w:val="006B3189"/>
    <w:rPr>
      <w:vertAlign w:val="superscript"/>
    </w:rPr>
  </w:style>
  <w:style w:type="paragraph" w:customStyle="1" w:styleId="Default">
    <w:name w:val="Default"/>
    <w:rsid w:val="00686123"/>
    <w:pPr>
      <w:autoSpaceDE w:val="0"/>
      <w:autoSpaceDN w:val="0"/>
      <w:adjustRightInd w:val="0"/>
    </w:pPr>
    <w:rPr>
      <w:rFonts w:ascii="Times New Roman" w:hAnsi="Times New Roman" w:cs="Times New Roman"/>
      <w:color w:val="000000"/>
      <w:lang w:val="en-US"/>
    </w:rPr>
  </w:style>
  <w:style w:type="character" w:styleId="Hyperlink">
    <w:name w:val="Hyperlink"/>
    <w:basedOn w:val="DefaultParagraphFont"/>
    <w:uiPriority w:val="99"/>
    <w:unhideWhenUsed/>
    <w:rsid w:val="00AA6415"/>
    <w:rPr>
      <w:color w:val="0563C1" w:themeColor="hyperlink"/>
      <w:u w:val="single"/>
    </w:rPr>
  </w:style>
  <w:style w:type="character" w:customStyle="1" w:styleId="UnresolvedMention1">
    <w:name w:val="Unresolved Mention1"/>
    <w:basedOn w:val="DefaultParagraphFont"/>
    <w:uiPriority w:val="99"/>
    <w:semiHidden/>
    <w:unhideWhenUsed/>
    <w:rsid w:val="00AA6415"/>
    <w:rPr>
      <w:color w:val="605E5C"/>
      <w:shd w:val="clear" w:color="auto" w:fill="E1DFDD"/>
    </w:rPr>
  </w:style>
  <w:style w:type="paragraph" w:styleId="NormalWeb">
    <w:name w:val="Normal (Web)"/>
    <w:basedOn w:val="Normal"/>
    <w:uiPriority w:val="99"/>
    <w:semiHidden/>
    <w:unhideWhenUsed/>
    <w:rsid w:val="000B6412"/>
    <w:pPr>
      <w:spacing w:before="100" w:beforeAutospacing="1" w:after="100" w:afterAutospacing="1"/>
    </w:pPr>
  </w:style>
  <w:style w:type="character" w:styleId="FollowedHyperlink">
    <w:name w:val="FollowedHyperlink"/>
    <w:basedOn w:val="DefaultParagraphFont"/>
    <w:uiPriority w:val="99"/>
    <w:semiHidden/>
    <w:unhideWhenUsed/>
    <w:rsid w:val="00107A20"/>
    <w:rPr>
      <w:color w:val="954F72" w:themeColor="followedHyperlink"/>
      <w:u w:val="single"/>
    </w:rPr>
  </w:style>
  <w:style w:type="paragraph" w:styleId="BalloonText">
    <w:name w:val="Balloon Text"/>
    <w:basedOn w:val="Normal"/>
    <w:link w:val="BalloonTextChar"/>
    <w:uiPriority w:val="99"/>
    <w:semiHidden/>
    <w:unhideWhenUsed/>
    <w:rsid w:val="002257B5"/>
    <w:rPr>
      <w:rFonts w:eastAsiaTheme="minorHAnsi"/>
      <w:sz w:val="18"/>
      <w:szCs w:val="18"/>
    </w:rPr>
  </w:style>
  <w:style w:type="character" w:customStyle="1" w:styleId="BalloonTextChar">
    <w:name w:val="Balloon Text Char"/>
    <w:basedOn w:val="DefaultParagraphFont"/>
    <w:link w:val="BalloonText"/>
    <w:uiPriority w:val="99"/>
    <w:semiHidden/>
    <w:rsid w:val="002257B5"/>
    <w:rPr>
      <w:rFonts w:ascii="Times New Roman" w:hAnsi="Times New Roman" w:cs="Times New Roman"/>
      <w:sz w:val="18"/>
      <w:szCs w:val="18"/>
    </w:rPr>
  </w:style>
  <w:style w:type="character" w:customStyle="1" w:styleId="Heading1Char">
    <w:name w:val="Heading 1 Char"/>
    <w:basedOn w:val="DefaultParagraphFont"/>
    <w:link w:val="Heading1"/>
    <w:uiPriority w:val="9"/>
    <w:rsid w:val="00F031C2"/>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048A5"/>
    <w:pPr>
      <w:tabs>
        <w:tab w:val="center" w:pos="4680"/>
        <w:tab w:val="right" w:pos="9360"/>
      </w:tabs>
    </w:pPr>
  </w:style>
  <w:style w:type="character" w:customStyle="1" w:styleId="HeaderChar">
    <w:name w:val="Header Char"/>
    <w:basedOn w:val="DefaultParagraphFont"/>
    <w:link w:val="Header"/>
    <w:uiPriority w:val="99"/>
    <w:rsid w:val="000048A5"/>
    <w:rPr>
      <w:rFonts w:ascii="Times New Roman" w:eastAsia="Times New Roman" w:hAnsi="Times New Roman" w:cs="Times New Roman"/>
    </w:rPr>
  </w:style>
  <w:style w:type="paragraph" w:styleId="Footer">
    <w:name w:val="footer"/>
    <w:basedOn w:val="Normal"/>
    <w:link w:val="FooterChar"/>
    <w:uiPriority w:val="99"/>
    <w:unhideWhenUsed/>
    <w:rsid w:val="000048A5"/>
    <w:pPr>
      <w:tabs>
        <w:tab w:val="center" w:pos="4680"/>
        <w:tab w:val="right" w:pos="9360"/>
      </w:tabs>
    </w:pPr>
  </w:style>
  <w:style w:type="character" w:customStyle="1" w:styleId="FooterChar">
    <w:name w:val="Footer Char"/>
    <w:basedOn w:val="DefaultParagraphFont"/>
    <w:link w:val="Footer"/>
    <w:uiPriority w:val="99"/>
    <w:rsid w:val="000048A5"/>
    <w:rPr>
      <w:rFonts w:ascii="Times New Roman" w:eastAsia="Times New Roman" w:hAnsi="Times New Roman" w:cs="Times New Roman"/>
    </w:rPr>
  </w:style>
  <w:style w:type="character" w:styleId="PageNumber">
    <w:name w:val="page number"/>
    <w:basedOn w:val="DefaultParagraphFont"/>
    <w:uiPriority w:val="99"/>
    <w:semiHidden/>
    <w:unhideWhenUsed/>
    <w:rsid w:val="00BF1559"/>
  </w:style>
  <w:style w:type="character" w:styleId="CommentReference">
    <w:name w:val="annotation reference"/>
    <w:basedOn w:val="DefaultParagraphFont"/>
    <w:uiPriority w:val="99"/>
    <w:semiHidden/>
    <w:unhideWhenUsed/>
    <w:rsid w:val="00307F35"/>
    <w:rPr>
      <w:sz w:val="16"/>
      <w:szCs w:val="16"/>
    </w:rPr>
  </w:style>
  <w:style w:type="paragraph" w:styleId="CommentText">
    <w:name w:val="annotation text"/>
    <w:basedOn w:val="Normal"/>
    <w:link w:val="CommentTextChar"/>
    <w:uiPriority w:val="99"/>
    <w:unhideWhenUsed/>
    <w:rsid w:val="00307F35"/>
    <w:rPr>
      <w:sz w:val="20"/>
      <w:szCs w:val="20"/>
    </w:rPr>
  </w:style>
  <w:style w:type="character" w:customStyle="1" w:styleId="CommentTextChar">
    <w:name w:val="Comment Text Char"/>
    <w:basedOn w:val="DefaultParagraphFont"/>
    <w:link w:val="CommentText"/>
    <w:uiPriority w:val="99"/>
    <w:rsid w:val="00307F3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07F35"/>
    <w:rPr>
      <w:b/>
      <w:bCs/>
    </w:rPr>
  </w:style>
  <w:style w:type="character" w:customStyle="1" w:styleId="CommentSubjectChar">
    <w:name w:val="Comment Subject Char"/>
    <w:basedOn w:val="CommentTextChar"/>
    <w:link w:val="CommentSubject"/>
    <w:uiPriority w:val="99"/>
    <w:semiHidden/>
    <w:rsid w:val="00307F35"/>
    <w:rPr>
      <w:rFonts w:ascii="Times New Roman" w:eastAsia="Times New Roman" w:hAnsi="Times New Roman" w:cs="Times New Roman"/>
      <w:b/>
      <w:bCs/>
      <w:sz w:val="20"/>
      <w:szCs w:val="20"/>
    </w:rPr>
  </w:style>
  <w:style w:type="character" w:customStyle="1" w:styleId="UnresolvedMention2">
    <w:name w:val="Unresolved Mention2"/>
    <w:basedOn w:val="DefaultParagraphFont"/>
    <w:uiPriority w:val="99"/>
    <w:semiHidden/>
    <w:unhideWhenUsed/>
    <w:rsid w:val="00D678ED"/>
    <w:rPr>
      <w:color w:val="605E5C"/>
      <w:shd w:val="clear" w:color="auto" w:fill="E1DFDD"/>
    </w:rPr>
  </w:style>
  <w:style w:type="paragraph" w:styleId="Revision">
    <w:name w:val="Revision"/>
    <w:hidden/>
    <w:uiPriority w:val="99"/>
    <w:semiHidden/>
    <w:rsid w:val="0035678A"/>
    <w:rPr>
      <w:rFonts w:ascii="Times New Roman" w:eastAsia="Times New Roman" w:hAnsi="Times New Roman" w:cs="Times New Roman"/>
    </w:rPr>
  </w:style>
  <w:style w:type="paragraph" w:styleId="ListParagraph">
    <w:name w:val="List Paragraph"/>
    <w:basedOn w:val="Normal"/>
    <w:uiPriority w:val="34"/>
    <w:qFormat/>
    <w:rsid w:val="00C015D9"/>
    <w:pPr>
      <w:ind w:left="720"/>
      <w:contextualSpacing/>
    </w:pPr>
    <w:rPr>
      <w:rFonts w:ascii="Palatino Linotype" w:eastAsiaTheme="minorHAnsi" w:hAnsi="Palatino Linotype" w:cstheme="minorBidi"/>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47367">
      <w:bodyDiv w:val="1"/>
      <w:marLeft w:val="0"/>
      <w:marRight w:val="0"/>
      <w:marTop w:val="0"/>
      <w:marBottom w:val="0"/>
      <w:divBdr>
        <w:top w:val="none" w:sz="0" w:space="0" w:color="auto"/>
        <w:left w:val="none" w:sz="0" w:space="0" w:color="auto"/>
        <w:bottom w:val="none" w:sz="0" w:space="0" w:color="auto"/>
        <w:right w:val="none" w:sz="0" w:space="0" w:color="auto"/>
      </w:divBdr>
      <w:divsChild>
        <w:div w:id="1477336371">
          <w:marLeft w:val="0"/>
          <w:marRight w:val="0"/>
          <w:marTop w:val="0"/>
          <w:marBottom w:val="0"/>
          <w:divBdr>
            <w:top w:val="none" w:sz="0" w:space="0" w:color="auto"/>
            <w:left w:val="none" w:sz="0" w:space="0" w:color="auto"/>
            <w:bottom w:val="none" w:sz="0" w:space="0" w:color="auto"/>
            <w:right w:val="none" w:sz="0" w:space="0" w:color="auto"/>
          </w:divBdr>
          <w:divsChild>
            <w:div w:id="548612284">
              <w:marLeft w:val="0"/>
              <w:marRight w:val="0"/>
              <w:marTop w:val="0"/>
              <w:marBottom w:val="0"/>
              <w:divBdr>
                <w:top w:val="none" w:sz="0" w:space="0" w:color="auto"/>
                <w:left w:val="none" w:sz="0" w:space="0" w:color="auto"/>
                <w:bottom w:val="none" w:sz="0" w:space="0" w:color="auto"/>
                <w:right w:val="none" w:sz="0" w:space="0" w:color="auto"/>
              </w:divBdr>
              <w:divsChild>
                <w:div w:id="137850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223637">
      <w:bodyDiv w:val="1"/>
      <w:marLeft w:val="0"/>
      <w:marRight w:val="0"/>
      <w:marTop w:val="0"/>
      <w:marBottom w:val="0"/>
      <w:divBdr>
        <w:top w:val="none" w:sz="0" w:space="0" w:color="auto"/>
        <w:left w:val="none" w:sz="0" w:space="0" w:color="auto"/>
        <w:bottom w:val="none" w:sz="0" w:space="0" w:color="auto"/>
        <w:right w:val="none" w:sz="0" w:space="0" w:color="auto"/>
      </w:divBdr>
    </w:div>
    <w:div w:id="982150366">
      <w:bodyDiv w:val="1"/>
      <w:marLeft w:val="0"/>
      <w:marRight w:val="0"/>
      <w:marTop w:val="0"/>
      <w:marBottom w:val="0"/>
      <w:divBdr>
        <w:top w:val="none" w:sz="0" w:space="0" w:color="auto"/>
        <w:left w:val="none" w:sz="0" w:space="0" w:color="auto"/>
        <w:bottom w:val="none" w:sz="0" w:space="0" w:color="auto"/>
        <w:right w:val="none" w:sz="0" w:space="0" w:color="auto"/>
      </w:divBdr>
      <w:divsChild>
        <w:div w:id="1976182828">
          <w:marLeft w:val="0"/>
          <w:marRight w:val="0"/>
          <w:marTop w:val="0"/>
          <w:marBottom w:val="0"/>
          <w:divBdr>
            <w:top w:val="none" w:sz="0" w:space="0" w:color="auto"/>
            <w:left w:val="none" w:sz="0" w:space="0" w:color="auto"/>
            <w:bottom w:val="none" w:sz="0" w:space="0" w:color="auto"/>
            <w:right w:val="none" w:sz="0" w:space="0" w:color="auto"/>
          </w:divBdr>
          <w:divsChild>
            <w:div w:id="437872754">
              <w:marLeft w:val="0"/>
              <w:marRight w:val="0"/>
              <w:marTop w:val="0"/>
              <w:marBottom w:val="0"/>
              <w:divBdr>
                <w:top w:val="none" w:sz="0" w:space="0" w:color="auto"/>
                <w:left w:val="none" w:sz="0" w:space="0" w:color="auto"/>
                <w:bottom w:val="none" w:sz="0" w:space="0" w:color="auto"/>
                <w:right w:val="none" w:sz="0" w:space="0" w:color="auto"/>
              </w:divBdr>
              <w:divsChild>
                <w:div w:id="195775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862538">
      <w:bodyDiv w:val="1"/>
      <w:marLeft w:val="0"/>
      <w:marRight w:val="0"/>
      <w:marTop w:val="0"/>
      <w:marBottom w:val="0"/>
      <w:divBdr>
        <w:top w:val="none" w:sz="0" w:space="0" w:color="auto"/>
        <w:left w:val="none" w:sz="0" w:space="0" w:color="auto"/>
        <w:bottom w:val="none" w:sz="0" w:space="0" w:color="auto"/>
        <w:right w:val="none" w:sz="0" w:space="0" w:color="auto"/>
      </w:divBdr>
    </w:div>
    <w:div w:id="1633288908">
      <w:bodyDiv w:val="1"/>
      <w:marLeft w:val="0"/>
      <w:marRight w:val="0"/>
      <w:marTop w:val="0"/>
      <w:marBottom w:val="0"/>
      <w:divBdr>
        <w:top w:val="none" w:sz="0" w:space="0" w:color="auto"/>
        <w:left w:val="none" w:sz="0" w:space="0" w:color="auto"/>
        <w:bottom w:val="none" w:sz="0" w:space="0" w:color="auto"/>
        <w:right w:val="none" w:sz="0" w:space="0" w:color="auto"/>
      </w:divBdr>
      <w:divsChild>
        <w:div w:id="389572928">
          <w:marLeft w:val="0"/>
          <w:marRight w:val="0"/>
          <w:marTop w:val="0"/>
          <w:marBottom w:val="0"/>
          <w:divBdr>
            <w:top w:val="none" w:sz="0" w:space="0" w:color="auto"/>
            <w:left w:val="none" w:sz="0" w:space="0" w:color="auto"/>
            <w:bottom w:val="none" w:sz="0" w:space="0" w:color="auto"/>
            <w:right w:val="none" w:sz="0" w:space="0" w:color="auto"/>
          </w:divBdr>
          <w:divsChild>
            <w:div w:id="1754164796">
              <w:marLeft w:val="0"/>
              <w:marRight w:val="0"/>
              <w:marTop w:val="0"/>
              <w:marBottom w:val="0"/>
              <w:divBdr>
                <w:top w:val="none" w:sz="0" w:space="0" w:color="auto"/>
                <w:left w:val="none" w:sz="0" w:space="0" w:color="auto"/>
                <w:bottom w:val="none" w:sz="0" w:space="0" w:color="auto"/>
                <w:right w:val="none" w:sz="0" w:space="0" w:color="auto"/>
              </w:divBdr>
              <w:divsChild>
                <w:div w:id="11182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353948">
      <w:bodyDiv w:val="1"/>
      <w:marLeft w:val="0"/>
      <w:marRight w:val="0"/>
      <w:marTop w:val="0"/>
      <w:marBottom w:val="0"/>
      <w:divBdr>
        <w:top w:val="none" w:sz="0" w:space="0" w:color="auto"/>
        <w:left w:val="none" w:sz="0" w:space="0" w:color="auto"/>
        <w:bottom w:val="none" w:sz="0" w:space="0" w:color="auto"/>
        <w:right w:val="none" w:sz="0" w:space="0" w:color="auto"/>
      </w:divBdr>
    </w:div>
    <w:div w:id="1804158484">
      <w:bodyDiv w:val="1"/>
      <w:marLeft w:val="0"/>
      <w:marRight w:val="0"/>
      <w:marTop w:val="0"/>
      <w:marBottom w:val="0"/>
      <w:divBdr>
        <w:top w:val="none" w:sz="0" w:space="0" w:color="auto"/>
        <w:left w:val="none" w:sz="0" w:space="0" w:color="auto"/>
        <w:bottom w:val="none" w:sz="0" w:space="0" w:color="auto"/>
        <w:right w:val="none" w:sz="0" w:space="0" w:color="auto"/>
      </w:divBdr>
      <w:divsChild>
        <w:div w:id="1200585232">
          <w:marLeft w:val="0"/>
          <w:marRight w:val="0"/>
          <w:marTop w:val="0"/>
          <w:marBottom w:val="0"/>
          <w:divBdr>
            <w:top w:val="none" w:sz="0" w:space="0" w:color="auto"/>
            <w:left w:val="none" w:sz="0" w:space="0" w:color="auto"/>
            <w:bottom w:val="none" w:sz="0" w:space="0" w:color="auto"/>
            <w:right w:val="none" w:sz="0" w:space="0" w:color="auto"/>
          </w:divBdr>
          <w:divsChild>
            <w:div w:id="417555735">
              <w:marLeft w:val="0"/>
              <w:marRight w:val="0"/>
              <w:marTop w:val="0"/>
              <w:marBottom w:val="0"/>
              <w:divBdr>
                <w:top w:val="none" w:sz="0" w:space="0" w:color="auto"/>
                <w:left w:val="none" w:sz="0" w:space="0" w:color="auto"/>
                <w:bottom w:val="none" w:sz="0" w:space="0" w:color="auto"/>
                <w:right w:val="none" w:sz="0" w:space="0" w:color="auto"/>
              </w:divBdr>
              <w:divsChild>
                <w:div w:id="207192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27305">
      <w:bodyDiv w:val="1"/>
      <w:marLeft w:val="0"/>
      <w:marRight w:val="0"/>
      <w:marTop w:val="0"/>
      <w:marBottom w:val="0"/>
      <w:divBdr>
        <w:top w:val="none" w:sz="0" w:space="0" w:color="auto"/>
        <w:left w:val="none" w:sz="0" w:space="0" w:color="auto"/>
        <w:bottom w:val="none" w:sz="0" w:space="0" w:color="auto"/>
        <w:right w:val="none" w:sz="0" w:space="0" w:color="auto"/>
      </w:divBdr>
    </w:div>
    <w:div w:id="212568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naseo.org/members-states" TargetMode="External"/><Relationship Id="rId1" Type="http://schemas.openxmlformats.org/officeDocument/2006/relationships/hyperlink" Target="http://lpd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2234</Words>
  <Characters>12736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2021-11-06T13:41:00Z</dcterms:created>
  <dcterms:modified xsi:type="dcterms:W3CDTF">2021-11-06T13:41:00Z</dcterms:modified>
</cp:coreProperties>
</file>