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43B40" w14:textId="07EDC81C" w:rsidR="00EC131A" w:rsidRDefault="00EC131A" w:rsidP="00EF18BF">
      <w:pPr>
        <w:pStyle w:val="AODocTxt"/>
        <w:spacing w:before="0" w:line="240" w:lineRule="auto"/>
        <w:rPr>
          <w:lang w:val="en-US"/>
        </w:rPr>
      </w:pPr>
      <w:r w:rsidRPr="00EC131A">
        <w:rPr>
          <w:lang w:val="en-US"/>
        </w:rPr>
        <w:t xml:space="preserve">This document has been prepared as part of the implementation project of Legal Pathways to Deep Decarbonization (Michael B. Gerrard and John C. </w:t>
      </w:r>
      <w:proofErr w:type="spellStart"/>
      <w:r w:rsidRPr="00EC131A">
        <w:rPr>
          <w:lang w:val="en-US"/>
        </w:rPr>
        <w:t>Dernbach</w:t>
      </w:r>
      <w:proofErr w:type="spellEnd"/>
      <w:r w:rsidRPr="00EC131A">
        <w:rPr>
          <w:lang w:val="en-US"/>
        </w:rPr>
        <w:t xml:space="preserve">, eds. Environmental Law Institute [2019]) (LPDD).  For background information on the project, see </w:t>
      </w:r>
      <w:hyperlink r:id="rId7" w:history="1">
        <w:r w:rsidRPr="00B13824">
          <w:rPr>
            <w:rStyle w:val="Hyperlink"/>
            <w:lang w:val="en-US"/>
          </w:rPr>
          <w:t>https://lpdd.org</w:t>
        </w:r>
      </w:hyperlink>
    </w:p>
    <w:p w14:paraId="0DBD0D3C" w14:textId="77777777" w:rsidR="00EC131A" w:rsidRDefault="00EC131A" w:rsidP="00EF18BF">
      <w:pPr>
        <w:pStyle w:val="AODocTxt"/>
        <w:spacing w:before="0" w:line="240" w:lineRule="auto"/>
        <w:rPr>
          <w:lang w:val="en-US"/>
        </w:rPr>
      </w:pPr>
    </w:p>
    <w:p w14:paraId="6901A873" w14:textId="4068DF88" w:rsidR="002C651D" w:rsidRPr="002C651D" w:rsidRDefault="00931E2A" w:rsidP="00EF18BF">
      <w:pPr>
        <w:pStyle w:val="AODocTxt"/>
        <w:spacing w:before="0" w:line="240" w:lineRule="auto"/>
        <w:rPr>
          <w:lang w:val="en-US"/>
        </w:rPr>
      </w:pPr>
      <w:r>
        <w:rPr>
          <w:lang w:val="en-US"/>
        </w:rPr>
        <w:t>[</w:t>
      </w:r>
      <w:r w:rsidR="002C651D">
        <w:rPr>
          <w:lang w:val="en-US"/>
        </w:rPr>
        <w:t>X</w:t>
      </w:r>
      <w:r>
        <w:rPr>
          <w:lang w:val="en-US"/>
        </w:rPr>
        <w:t>]</w:t>
      </w:r>
      <w:proofErr w:type="spellStart"/>
      <w:r w:rsidR="002C651D" w:rsidRPr="002C651D">
        <w:rPr>
          <w:lang w:val="en-US"/>
        </w:rPr>
        <w:t>th</w:t>
      </w:r>
      <w:proofErr w:type="spellEnd"/>
      <w:r w:rsidR="002C651D" w:rsidRPr="002C651D">
        <w:rPr>
          <w:lang w:val="en-US"/>
        </w:rPr>
        <w:t xml:space="preserve"> CONGRESS</w:t>
      </w:r>
    </w:p>
    <w:p w14:paraId="7FA8203C" w14:textId="081225A3" w:rsidR="002C651D" w:rsidRPr="002C651D" w:rsidRDefault="00931E2A" w:rsidP="00EF18BF">
      <w:pPr>
        <w:pStyle w:val="AODocTxt"/>
        <w:spacing w:before="0" w:line="240" w:lineRule="auto"/>
        <w:rPr>
          <w:lang w:val="en-US"/>
        </w:rPr>
      </w:pPr>
      <w:r>
        <w:rPr>
          <w:lang w:val="en-US"/>
        </w:rPr>
        <w:t>[</w:t>
      </w:r>
      <w:r w:rsidR="002C651D">
        <w:rPr>
          <w:lang w:val="en-US"/>
        </w:rPr>
        <w:t>X</w:t>
      </w:r>
      <w:r>
        <w:rPr>
          <w:lang w:val="en-US"/>
        </w:rPr>
        <w:t>]</w:t>
      </w:r>
      <w:r w:rsidR="002C651D" w:rsidRPr="002C651D">
        <w:rPr>
          <w:lang w:val="en-US"/>
        </w:rPr>
        <w:t xml:space="preserve"> Session</w:t>
      </w:r>
    </w:p>
    <w:p w14:paraId="6FE9A38B" w14:textId="1AE53059" w:rsidR="002C651D" w:rsidRPr="00931E2A" w:rsidRDefault="002C651D" w:rsidP="002C651D">
      <w:pPr>
        <w:pStyle w:val="AODocTxt"/>
        <w:jc w:val="center"/>
        <w:rPr>
          <w:b/>
          <w:lang w:val="en-US"/>
        </w:rPr>
      </w:pPr>
      <w:r w:rsidRPr="00931E2A">
        <w:rPr>
          <w:b/>
          <w:lang w:val="en-US"/>
        </w:rPr>
        <w:t xml:space="preserve">H. R. </w:t>
      </w:r>
      <w:r w:rsidR="00931E2A" w:rsidRPr="00931E2A">
        <w:rPr>
          <w:b/>
          <w:lang w:val="en-US"/>
        </w:rPr>
        <w:t>[</w:t>
      </w:r>
      <w:r w:rsidRPr="00931E2A">
        <w:rPr>
          <w:b/>
          <w:lang w:val="en-US"/>
        </w:rPr>
        <w:t>XXXX</w:t>
      </w:r>
      <w:r w:rsidR="00931E2A" w:rsidRPr="00931E2A">
        <w:rPr>
          <w:b/>
          <w:lang w:val="en-US"/>
        </w:rPr>
        <w:t>]</w:t>
      </w:r>
    </w:p>
    <w:p w14:paraId="7133EE2D" w14:textId="77777777" w:rsidR="002C651D" w:rsidRPr="002C651D" w:rsidRDefault="002C651D" w:rsidP="002C651D">
      <w:pPr>
        <w:pStyle w:val="AODocTxt"/>
        <w:rPr>
          <w:lang w:val="en-US"/>
        </w:rPr>
      </w:pPr>
      <w:r w:rsidRPr="002C651D">
        <w:rPr>
          <w:lang w:val="en-US"/>
        </w:rPr>
        <w:t xml:space="preserve">To amend the Internal Revenue Code of 1986 to </w:t>
      </w:r>
      <w:r>
        <w:rPr>
          <w:lang w:val="en-US"/>
        </w:rPr>
        <w:t>remove</w:t>
      </w:r>
      <w:r w:rsidRPr="002C651D">
        <w:rPr>
          <w:lang w:val="en-US"/>
        </w:rPr>
        <w:t xml:space="preserve"> </w:t>
      </w:r>
      <w:r>
        <w:rPr>
          <w:lang w:val="en-US"/>
        </w:rPr>
        <w:t>favorable tax treatment for coal production, extraction</w:t>
      </w:r>
      <w:r w:rsidRPr="002C651D">
        <w:rPr>
          <w:lang w:val="en-US"/>
        </w:rPr>
        <w:t>,</w:t>
      </w:r>
      <w:r>
        <w:rPr>
          <w:lang w:val="en-US"/>
        </w:rPr>
        <w:t xml:space="preserve"> and processing,</w:t>
      </w:r>
      <w:r w:rsidR="00321FEE">
        <w:rPr>
          <w:lang w:val="en-US"/>
        </w:rPr>
        <w:t xml:space="preserve"> and for other purposes.</w:t>
      </w:r>
    </w:p>
    <w:p w14:paraId="1AF14D49" w14:textId="77777777" w:rsidR="00931E2A" w:rsidRDefault="00931E2A" w:rsidP="00931E2A">
      <w:pPr>
        <w:pStyle w:val="AODocTxt"/>
        <w:spacing w:before="0" w:line="240" w:lineRule="auto"/>
        <w:jc w:val="center"/>
        <w:rPr>
          <w:lang w:val="en-US"/>
        </w:rPr>
      </w:pPr>
    </w:p>
    <w:p w14:paraId="704516BA" w14:textId="3A95ABEC" w:rsidR="002C651D" w:rsidRPr="002C651D" w:rsidRDefault="002C651D" w:rsidP="00931E2A">
      <w:pPr>
        <w:pStyle w:val="AODocTxt"/>
        <w:spacing w:before="0" w:line="240" w:lineRule="auto"/>
        <w:jc w:val="center"/>
        <w:rPr>
          <w:lang w:val="en-US"/>
        </w:rPr>
      </w:pPr>
      <w:r w:rsidRPr="002C651D">
        <w:rPr>
          <w:lang w:val="en-US"/>
        </w:rPr>
        <w:t>IN THE HOUSE OF REPRESENTATIVES</w:t>
      </w:r>
    </w:p>
    <w:p w14:paraId="2585CA71" w14:textId="77777777" w:rsidR="002C651D" w:rsidRPr="002C651D" w:rsidRDefault="002C651D" w:rsidP="00931E2A">
      <w:pPr>
        <w:pStyle w:val="AODocTxt"/>
        <w:spacing w:before="0" w:line="240" w:lineRule="auto"/>
        <w:jc w:val="center"/>
        <w:rPr>
          <w:lang w:val="en-US"/>
        </w:rPr>
      </w:pPr>
      <w:r>
        <w:rPr>
          <w:lang w:val="en-US"/>
        </w:rPr>
        <w:t>[DATE]</w:t>
      </w:r>
    </w:p>
    <w:p w14:paraId="18B4280C" w14:textId="5A0C2F1B" w:rsidR="002C651D" w:rsidRPr="002C651D" w:rsidRDefault="00931E2A" w:rsidP="002C651D">
      <w:pPr>
        <w:pStyle w:val="AODocTxt"/>
        <w:rPr>
          <w:lang w:val="en-US"/>
        </w:rPr>
      </w:pPr>
      <w:r>
        <w:rPr>
          <w:lang w:val="en-US"/>
        </w:rPr>
        <w:t>[</w:t>
      </w:r>
      <w:proofErr w:type="spellStart"/>
      <w:r w:rsidR="002C651D" w:rsidRPr="002C651D">
        <w:rPr>
          <w:lang w:val="en-US"/>
        </w:rPr>
        <w:t>Mr</w:t>
      </w:r>
      <w:proofErr w:type="spellEnd"/>
      <w:r w:rsidR="002C651D">
        <w:rPr>
          <w:lang w:val="en-US"/>
        </w:rPr>
        <w:t>/</w:t>
      </w:r>
      <w:proofErr w:type="spellStart"/>
      <w:r w:rsidR="002C651D">
        <w:rPr>
          <w:lang w:val="en-US"/>
        </w:rPr>
        <w:t>Ms</w:t>
      </w:r>
      <w:proofErr w:type="spellEnd"/>
      <w:r w:rsidR="002C651D" w:rsidRPr="002C651D">
        <w:rPr>
          <w:lang w:val="en-US"/>
        </w:rPr>
        <w:t xml:space="preserve"> </w:t>
      </w:r>
      <w:r w:rsidR="002C651D">
        <w:rPr>
          <w:lang w:val="en-US"/>
        </w:rPr>
        <w:t>Congressperson</w:t>
      </w:r>
      <w:r>
        <w:rPr>
          <w:lang w:val="en-US"/>
        </w:rPr>
        <w:t>]</w:t>
      </w:r>
      <w:r w:rsidR="002C651D" w:rsidRPr="002C651D">
        <w:rPr>
          <w:lang w:val="en-US"/>
        </w:rPr>
        <w:t xml:space="preserve"> introduced the following bill; which was referred to </w:t>
      </w:r>
      <w:r w:rsidR="00321FEE">
        <w:rPr>
          <w:lang w:val="en-US"/>
        </w:rPr>
        <w:t>the Committee on Ways and Means</w:t>
      </w:r>
    </w:p>
    <w:p w14:paraId="5271036A" w14:textId="77777777" w:rsidR="002C651D" w:rsidRPr="00931E2A" w:rsidRDefault="002C651D" w:rsidP="002C651D">
      <w:pPr>
        <w:pStyle w:val="AODocTxt"/>
        <w:jc w:val="center"/>
        <w:rPr>
          <w:b/>
          <w:lang w:val="en-US"/>
        </w:rPr>
      </w:pPr>
      <w:r w:rsidRPr="00931E2A">
        <w:rPr>
          <w:b/>
          <w:lang w:val="en-US"/>
        </w:rPr>
        <w:t>A BILL</w:t>
      </w:r>
    </w:p>
    <w:p w14:paraId="549CD60B" w14:textId="77777777" w:rsidR="002C651D" w:rsidRPr="002C651D" w:rsidRDefault="002C651D" w:rsidP="002C651D">
      <w:pPr>
        <w:pStyle w:val="AODocTxt"/>
        <w:rPr>
          <w:lang w:val="en-US"/>
        </w:rPr>
      </w:pPr>
      <w:r w:rsidRPr="002C651D">
        <w:rPr>
          <w:lang w:val="en-US"/>
        </w:rPr>
        <w:t xml:space="preserve">To amend the Internal Revenue Code of 1986 to </w:t>
      </w:r>
      <w:r>
        <w:rPr>
          <w:lang w:val="en-US"/>
        </w:rPr>
        <w:t>remove</w:t>
      </w:r>
      <w:r w:rsidRPr="002C651D">
        <w:rPr>
          <w:lang w:val="en-US"/>
        </w:rPr>
        <w:t xml:space="preserve"> </w:t>
      </w:r>
      <w:r>
        <w:rPr>
          <w:lang w:val="en-US"/>
        </w:rPr>
        <w:t>favorable tax treatment for coal production, extraction</w:t>
      </w:r>
      <w:r w:rsidRPr="002C651D">
        <w:rPr>
          <w:lang w:val="en-US"/>
        </w:rPr>
        <w:t>,</w:t>
      </w:r>
      <w:r>
        <w:rPr>
          <w:lang w:val="en-US"/>
        </w:rPr>
        <w:t xml:space="preserve"> and processing,</w:t>
      </w:r>
      <w:r w:rsidR="00321FEE">
        <w:rPr>
          <w:lang w:val="en-US"/>
        </w:rPr>
        <w:t xml:space="preserve"> and for other purposes.</w:t>
      </w:r>
    </w:p>
    <w:p w14:paraId="1FCC4A5A" w14:textId="77777777" w:rsidR="002C651D" w:rsidRPr="002C651D" w:rsidRDefault="002C651D" w:rsidP="002C651D">
      <w:pPr>
        <w:pStyle w:val="AODocTxt"/>
        <w:rPr>
          <w:lang w:val="en-US"/>
        </w:rPr>
      </w:pPr>
      <w:r w:rsidRPr="002C651D">
        <w:rPr>
          <w:lang w:val="en-US"/>
        </w:rPr>
        <w:t>Be it enacted by the Senate and House of Representatives of the United States of</w:t>
      </w:r>
      <w:r w:rsidR="00321FEE">
        <w:rPr>
          <w:lang w:val="en-US"/>
        </w:rPr>
        <w:t xml:space="preserve"> America in Congress assembled,</w:t>
      </w:r>
    </w:p>
    <w:p w14:paraId="7B4D16D0" w14:textId="77777777" w:rsidR="002C651D" w:rsidRPr="00931E2A" w:rsidRDefault="002C651D" w:rsidP="002C651D">
      <w:pPr>
        <w:pStyle w:val="AODocTxt"/>
        <w:rPr>
          <w:b/>
          <w:lang w:val="en-US"/>
        </w:rPr>
      </w:pPr>
      <w:r w:rsidRPr="00931E2A">
        <w:rPr>
          <w:b/>
          <w:lang w:val="en-US"/>
        </w:rPr>
        <w:t>SECTION 1. REMOVAL OF CERTAIN TAX EXPENDITURES THAT FAVOR COAL</w:t>
      </w:r>
      <w:r w:rsidR="00321FEE" w:rsidRPr="00931E2A">
        <w:rPr>
          <w:b/>
          <w:lang w:val="en-US"/>
        </w:rPr>
        <w:t>.</w:t>
      </w:r>
    </w:p>
    <w:p w14:paraId="57712BA3" w14:textId="429DB630" w:rsidR="002C651D" w:rsidRPr="002C651D" w:rsidRDefault="002C651D" w:rsidP="002C651D">
      <w:pPr>
        <w:pStyle w:val="AODocTxt"/>
        <w:rPr>
          <w:lang w:val="en-US"/>
        </w:rPr>
      </w:pPr>
      <w:r w:rsidRPr="002C651D">
        <w:rPr>
          <w:lang w:val="en-US"/>
        </w:rPr>
        <w:t>(a)</w:t>
      </w:r>
      <w:r w:rsidR="00F8684C">
        <w:rPr>
          <w:lang w:val="en-US"/>
        </w:rPr>
        <w:t xml:space="preserve"> </w:t>
      </w:r>
      <w:r w:rsidRPr="002C651D">
        <w:rPr>
          <w:lang w:val="en-US"/>
        </w:rPr>
        <w:t xml:space="preserve"> In General.—</w:t>
      </w:r>
      <w:r w:rsidRPr="00931E2A">
        <w:rPr>
          <w:lang w:val="en-US"/>
        </w:rPr>
        <w:t xml:space="preserve">Section </w:t>
      </w:r>
      <w:r w:rsidR="00F8684C" w:rsidRPr="00931E2A">
        <w:rPr>
          <w:lang w:val="en-US"/>
        </w:rPr>
        <w:t>631</w:t>
      </w:r>
      <w:r w:rsidRPr="00931E2A">
        <w:rPr>
          <w:lang w:val="en-US"/>
        </w:rPr>
        <w:t>(</w:t>
      </w:r>
      <w:r w:rsidR="00F8684C" w:rsidRPr="00931E2A">
        <w:rPr>
          <w:lang w:val="en-US"/>
        </w:rPr>
        <w:t>c)</w:t>
      </w:r>
      <w:r w:rsidRPr="00931E2A">
        <w:rPr>
          <w:lang w:val="en-US"/>
        </w:rPr>
        <w:t xml:space="preserve"> of the Internal R</w:t>
      </w:r>
      <w:r w:rsidR="00F8684C" w:rsidRPr="00931E2A">
        <w:rPr>
          <w:lang w:val="en-US"/>
        </w:rPr>
        <w:t>evenue Code of 1986</w:t>
      </w:r>
      <w:r w:rsidR="00F8684C">
        <w:rPr>
          <w:lang w:val="en-US"/>
        </w:rPr>
        <w:t xml:space="preserve"> is amended—</w:t>
      </w:r>
    </w:p>
    <w:p w14:paraId="2BA3F2A5" w14:textId="3294EF62" w:rsidR="002C651D" w:rsidRDefault="002C651D" w:rsidP="00EB5035">
      <w:pPr>
        <w:pStyle w:val="AODocTxt"/>
        <w:ind w:firstLine="720"/>
        <w:rPr>
          <w:lang w:val="en-US"/>
        </w:rPr>
      </w:pPr>
      <w:r w:rsidRPr="002C651D">
        <w:rPr>
          <w:lang w:val="en-US"/>
        </w:rPr>
        <w:t>(1) by striking</w:t>
      </w:r>
      <w:r w:rsidR="00F8684C">
        <w:rPr>
          <w:lang w:val="en-US"/>
        </w:rPr>
        <w:t xml:space="preserve"> each mention of “</w:t>
      </w:r>
      <w:r w:rsidRPr="002C651D">
        <w:rPr>
          <w:lang w:val="en-US"/>
        </w:rPr>
        <w:t>coal</w:t>
      </w:r>
      <w:r w:rsidR="00F8684C">
        <w:rPr>
          <w:lang w:val="en-US"/>
        </w:rPr>
        <w:t>,” so the section refers only to domestic iron ore.</w:t>
      </w:r>
      <w:r w:rsidR="00931E2A">
        <w:rPr>
          <w:rStyle w:val="FootnoteReference"/>
          <w:lang w:val="en-US"/>
        </w:rPr>
        <w:footnoteReference w:id="1"/>
      </w:r>
    </w:p>
    <w:p w14:paraId="4A970E2C" w14:textId="77777777" w:rsidR="00AF268E" w:rsidRDefault="002C651D" w:rsidP="008B515F">
      <w:pPr>
        <w:pStyle w:val="AODocTxt"/>
        <w:rPr>
          <w:lang w:val="en-US"/>
        </w:rPr>
      </w:pPr>
      <w:r w:rsidRPr="002C651D">
        <w:rPr>
          <w:lang w:val="en-US"/>
        </w:rPr>
        <w:t xml:space="preserve">(b) </w:t>
      </w:r>
      <w:r w:rsidR="00EF18BF" w:rsidRPr="002C651D">
        <w:rPr>
          <w:lang w:val="en-US"/>
        </w:rPr>
        <w:t>In General.—</w:t>
      </w:r>
      <w:r w:rsidR="00EF18BF" w:rsidRPr="00FA7EC1">
        <w:rPr>
          <w:lang w:val="en-US"/>
        </w:rPr>
        <w:t>Section 617(f) of the Internal Revenue Code of 1986</w:t>
      </w:r>
      <w:r w:rsidR="00EF18BF">
        <w:rPr>
          <w:lang w:val="en-US"/>
        </w:rPr>
        <w:t xml:space="preserve"> is amended—</w:t>
      </w:r>
      <w:r w:rsidR="00272FC4" w:rsidDel="00272FC4">
        <w:rPr>
          <w:lang w:val="en-US"/>
        </w:rPr>
        <w:t xml:space="preserve"> </w:t>
      </w:r>
    </w:p>
    <w:p w14:paraId="2BBA4BF1" w14:textId="5941C107" w:rsidR="00EF18BF" w:rsidRDefault="00EF18BF" w:rsidP="00AF268E">
      <w:pPr>
        <w:pStyle w:val="AODocTxt"/>
        <w:ind w:firstLine="720"/>
        <w:rPr>
          <w:lang w:val="en-US"/>
        </w:rPr>
      </w:pPr>
      <w:r>
        <w:rPr>
          <w:lang w:val="en-US"/>
        </w:rPr>
        <w:t>(</w:t>
      </w:r>
      <w:r w:rsidR="00272FC4">
        <w:rPr>
          <w:lang w:val="en-US"/>
        </w:rPr>
        <w:t>1</w:t>
      </w:r>
      <w:r>
        <w:rPr>
          <w:lang w:val="en-US"/>
        </w:rPr>
        <w:t>) by adding to paragraph (2) “coal does not fall within the meaning of mining property to this section.”</w:t>
      </w:r>
      <w:r w:rsidR="00931E2A">
        <w:rPr>
          <w:rStyle w:val="FootnoteReference"/>
          <w:lang w:val="en-US"/>
        </w:rPr>
        <w:footnoteReference w:id="2"/>
      </w:r>
    </w:p>
    <w:p w14:paraId="7AB56773" w14:textId="3F954D7C" w:rsidR="00EB21A5" w:rsidRDefault="00931E2A" w:rsidP="00EB21A5">
      <w:pPr>
        <w:pStyle w:val="AODocTxt"/>
        <w:ind w:firstLine="720"/>
        <w:rPr>
          <w:lang w:val="en-US"/>
        </w:rPr>
      </w:pPr>
      <w:r>
        <w:rPr>
          <w:lang w:val="en-US"/>
        </w:rPr>
        <w:t xml:space="preserve"> </w:t>
      </w:r>
      <w:r w:rsidR="00EF18BF">
        <w:rPr>
          <w:lang w:val="en-US"/>
        </w:rPr>
        <w:t>(</w:t>
      </w:r>
      <w:r w:rsidR="00272FC4">
        <w:rPr>
          <w:lang w:val="en-US"/>
        </w:rPr>
        <w:t>2</w:t>
      </w:r>
      <w:r w:rsidR="00EF18BF">
        <w:rPr>
          <w:lang w:val="en-US"/>
        </w:rPr>
        <w:t>) by striking each mention of coal from paragraph (3).</w:t>
      </w:r>
      <w:r>
        <w:rPr>
          <w:rStyle w:val="FootnoteReference"/>
          <w:lang w:val="en-US"/>
        </w:rPr>
        <w:footnoteReference w:id="3"/>
      </w:r>
    </w:p>
    <w:p w14:paraId="5B69460E" w14:textId="011FC357" w:rsidR="00272FC4" w:rsidRDefault="00272FC4" w:rsidP="00272FC4">
      <w:pPr>
        <w:pStyle w:val="AODocTxt"/>
        <w:ind w:firstLine="720"/>
        <w:rPr>
          <w:lang w:val="en-US"/>
        </w:rPr>
      </w:pPr>
      <w:r>
        <w:rPr>
          <w:lang w:val="en-US"/>
        </w:rPr>
        <w:t>(3) by adding a new paragraph (4): “ORE OR OTHER MINERALS. The term “ore or other minerals” shall not include coal for the purposes of this section 617.”</w:t>
      </w:r>
      <w:r>
        <w:rPr>
          <w:rStyle w:val="FootnoteReference"/>
          <w:lang w:val="en-US"/>
        </w:rPr>
        <w:footnoteReference w:id="4"/>
      </w:r>
    </w:p>
    <w:p w14:paraId="33DF651B" w14:textId="48CD2157" w:rsidR="00A2582B" w:rsidRDefault="00A2582B" w:rsidP="00A2582B">
      <w:pPr>
        <w:pStyle w:val="AODocTxt"/>
        <w:rPr>
          <w:lang w:val="en-US"/>
        </w:rPr>
      </w:pPr>
      <w:r>
        <w:rPr>
          <w:lang w:val="en-US"/>
        </w:rPr>
        <w:lastRenderedPageBreak/>
        <w:t>(c</w:t>
      </w:r>
      <w:r w:rsidRPr="002C651D">
        <w:rPr>
          <w:lang w:val="en-US"/>
        </w:rPr>
        <w:t>) In General.—</w:t>
      </w:r>
      <w:r w:rsidRPr="00FA7EC1">
        <w:rPr>
          <w:lang w:val="en-US"/>
        </w:rPr>
        <w:t>Section 61</w:t>
      </w:r>
      <w:r w:rsidR="00272FC4">
        <w:rPr>
          <w:lang w:val="en-US"/>
        </w:rPr>
        <w:t>6</w:t>
      </w:r>
      <w:r w:rsidRPr="00FA7EC1">
        <w:rPr>
          <w:lang w:val="en-US"/>
        </w:rPr>
        <w:t xml:space="preserve"> of the Internal Revenue Code of 1986</w:t>
      </w:r>
      <w:r>
        <w:rPr>
          <w:lang w:val="en-US"/>
        </w:rPr>
        <w:t xml:space="preserve"> is amended—</w:t>
      </w:r>
    </w:p>
    <w:p w14:paraId="0A8F4FC2" w14:textId="0D6109DA" w:rsidR="00256680" w:rsidRDefault="00256680" w:rsidP="00272FC4">
      <w:pPr>
        <w:pStyle w:val="AODocTxt"/>
        <w:ind w:firstLine="720"/>
        <w:rPr>
          <w:lang w:val="en-US"/>
        </w:rPr>
      </w:pPr>
      <w:r>
        <w:rPr>
          <w:lang w:val="en-US"/>
        </w:rPr>
        <w:t>(1) by amending</w:t>
      </w:r>
      <w:r w:rsidR="00BF3A6E">
        <w:rPr>
          <w:lang w:val="en-US"/>
        </w:rPr>
        <w:t xml:space="preserve"> the parenthetical in</w:t>
      </w:r>
      <w:r>
        <w:rPr>
          <w:lang w:val="en-US"/>
        </w:rPr>
        <w:t xml:space="preserve"> subsection (a) </w:t>
      </w:r>
      <w:r w:rsidR="00BF3A6E">
        <w:rPr>
          <w:lang w:val="en-US"/>
        </w:rPr>
        <w:t>to read: “(other than coal or an oil or gas well)”.</w:t>
      </w:r>
    </w:p>
    <w:p w14:paraId="77B42C5F" w14:textId="6B0F481A" w:rsidR="00A2582B" w:rsidRDefault="00256680" w:rsidP="00272FC4">
      <w:pPr>
        <w:pStyle w:val="AODocTxt"/>
        <w:ind w:firstLine="720"/>
        <w:rPr>
          <w:lang w:val="en-US"/>
        </w:rPr>
      </w:pPr>
      <w:r>
        <w:rPr>
          <w:lang w:val="en-US"/>
        </w:rPr>
        <w:t>(2</w:t>
      </w:r>
      <w:r w:rsidR="00A2582B">
        <w:rPr>
          <w:lang w:val="en-US"/>
        </w:rPr>
        <w:t xml:space="preserve">) </w:t>
      </w:r>
      <w:r w:rsidR="00272FC4">
        <w:rPr>
          <w:lang w:val="en-US"/>
        </w:rPr>
        <w:t>by adding a new subsection (f)</w:t>
      </w:r>
      <w:r>
        <w:rPr>
          <w:lang w:val="en-US"/>
        </w:rPr>
        <w:t xml:space="preserve"> paragraph (1)</w:t>
      </w:r>
      <w:r w:rsidR="00272FC4">
        <w:rPr>
          <w:lang w:val="en-US"/>
        </w:rPr>
        <w:t>: “The term “ore or other minerals” shall not include coal for the purposes of this section 616”</w:t>
      </w:r>
      <w:r w:rsidR="002D56C4">
        <w:rPr>
          <w:lang w:val="en-US"/>
        </w:rPr>
        <w:t>.</w:t>
      </w:r>
      <w:r w:rsidR="00272FC4">
        <w:rPr>
          <w:rStyle w:val="FootnoteReference"/>
          <w:lang w:val="en-US"/>
        </w:rPr>
        <w:footnoteReference w:id="5"/>
      </w:r>
    </w:p>
    <w:p w14:paraId="529D2DCB" w14:textId="0B57ECD1" w:rsidR="00256680" w:rsidRDefault="00256680" w:rsidP="00272FC4">
      <w:pPr>
        <w:pStyle w:val="AODocTxt"/>
        <w:ind w:firstLine="720"/>
        <w:rPr>
          <w:lang w:val="en-US"/>
        </w:rPr>
      </w:pPr>
      <w:r>
        <w:rPr>
          <w:lang w:val="en-US"/>
        </w:rPr>
        <w:t>(3) by adding to new subsection (f), paragraph (2): “C</w:t>
      </w:r>
      <w:r w:rsidRPr="00256680">
        <w:rPr>
          <w:lang w:val="en-US"/>
        </w:rPr>
        <w:t>oal does not</w:t>
      </w:r>
      <w:r>
        <w:rPr>
          <w:lang w:val="en-US"/>
        </w:rPr>
        <w:t xml:space="preserve"> fall within the meaning of mine or deposit</w:t>
      </w:r>
      <w:r w:rsidRPr="00256680">
        <w:rPr>
          <w:lang w:val="en-US"/>
        </w:rPr>
        <w:t xml:space="preserve"> to this section”</w:t>
      </w:r>
      <w:r w:rsidR="002D56C4">
        <w:rPr>
          <w:lang w:val="en-US"/>
        </w:rPr>
        <w:t>.</w:t>
      </w:r>
      <w:r w:rsidRPr="00256680">
        <w:rPr>
          <w:vertAlign w:val="superscript"/>
          <w:lang w:val="en-US"/>
        </w:rPr>
        <w:footnoteReference w:id="6"/>
      </w:r>
    </w:p>
    <w:p w14:paraId="243206DC" w14:textId="4F383EFC" w:rsidR="00C6392B" w:rsidRDefault="00C6392B" w:rsidP="00C6392B">
      <w:pPr>
        <w:pStyle w:val="AODocTxt"/>
        <w:rPr>
          <w:lang w:val="en-US"/>
        </w:rPr>
      </w:pPr>
      <w:r>
        <w:rPr>
          <w:lang w:val="en-US"/>
        </w:rPr>
        <w:t>(</w:t>
      </w:r>
      <w:r w:rsidR="00A2582B">
        <w:rPr>
          <w:lang w:val="en-US"/>
        </w:rPr>
        <w:t>d</w:t>
      </w:r>
      <w:r w:rsidRPr="002C651D">
        <w:rPr>
          <w:lang w:val="en-US"/>
        </w:rPr>
        <w:t>) In General.—</w:t>
      </w:r>
      <w:r>
        <w:rPr>
          <w:lang w:val="en-US"/>
        </w:rPr>
        <w:t>Section 613</w:t>
      </w:r>
      <w:r w:rsidRPr="00FA7EC1">
        <w:rPr>
          <w:lang w:val="en-US"/>
        </w:rPr>
        <w:t xml:space="preserve"> of the Internal Revenue Code of 1986</w:t>
      </w:r>
      <w:r>
        <w:rPr>
          <w:lang w:val="en-US"/>
        </w:rPr>
        <w:t xml:space="preserve"> is amended—</w:t>
      </w:r>
    </w:p>
    <w:p w14:paraId="2E3DDC19" w14:textId="3A8BC63A" w:rsidR="00C6392B" w:rsidRDefault="00C6392B" w:rsidP="00C6392B">
      <w:pPr>
        <w:pStyle w:val="AODocTxt"/>
        <w:ind w:firstLine="720"/>
        <w:rPr>
          <w:lang w:val="en-US"/>
        </w:rPr>
      </w:pPr>
      <w:r>
        <w:rPr>
          <w:lang w:val="en-US"/>
        </w:rPr>
        <w:t xml:space="preserve">(1) </w:t>
      </w:r>
      <w:r w:rsidRPr="002C651D">
        <w:rPr>
          <w:lang w:val="en-US"/>
        </w:rPr>
        <w:t>by striking</w:t>
      </w:r>
      <w:r>
        <w:rPr>
          <w:lang w:val="en-US"/>
        </w:rPr>
        <w:t xml:space="preserve"> the mention</w:t>
      </w:r>
      <w:r w:rsidR="0055442E">
        <w:rPr>
          <w:lang w:val="en-US"/>
        </w:rPr>
        <w:t>s</w:t>
      </w:r>
      <w:r>
        <w:rPr>
          <w:lang w:val="en-US"/>
        </w:rPr>
        <w:t xml:space="preserve"> of “</w:t>
      </w:r>
      <w:r w:rsidRPr="002C651D">
        <w:rPr>
          <w:lang w:val="en-US"/>
        </w:rPr>
        <w:t>coal</w:t>
      </w:r>
      <w:r>
        <w:rPr>
          <w:lang w:val="en-US"/>
        </w:rPr>
        <w:t xml:space="preserve">” </w:t>
      </w:r>
      <w:r w:rsidR="0055442E">
        <w:rPr>
          <w:lang w:val="en-US"/>
        </w:rPr>
        <w:t xml:space="preserve">and “lignite” </w:t>
      </w:r>
      <w:r>
        <w:rPr>
          <w:lang w:val="en-US"/>
        </w:rPr>
        <w:t>from subsection (b) paragraph (4) so the section refers only to asbestos, brucite, perlite, sodium chloride, and wollastonite.</w:t>
      </w:r>
    </w:p>
    <w:p w14:paraId="599729C9" w14:textId="07E750E0" w:rsidR="00E75FC6" w:rsidRDefault="00E75FC6" w:rsidP="00C6392B">
      <w:pPr>
        <w:pStyle w:val="AODocTxt"/>
        <w:ind w:firstLine="720"/>
        <w:rPr>
          <w:lang w:val="en-US"/>
        </w:rPr>
      </w:pPr>
      <w:r>
        <w:rPr>
          <w:lang w:val="en-US"/>
        </w:rPr>
        <w:t xml:space="preserve">(2) by </w:t>
      </w:r>
      <w:r w:rsidR="009927C6">
        <w:rPr>
          <w:lang w:val="en-US"/>
        </w:rPr>
        <w:t>striking “or” from paragraph (b)(7)(B).</w:t>
      </w:r>
      <w:r>
        <w:rPr>
          <w:lang w:val="en-US"/>
        </w:rPr>
        <w:t xml:space="preserve"> </w:t>
      </w:r>
    </w:p>
    <w:p w14:paraId="6A136B14" w14:textId="06506C48" w:rsidR="00E75FC6" w:rsidRDefault="00E75FC6" w:rsidP="00C6392B">
      <w:pPr>
        <w:pStyle w:val="AODocTxt"/>
        <w:ind w:firstLine="720"/>
        <w:rPr>
          <w:lang w:val="en-US"/>
        </w:rPr>
      </w:pPr>
      <w:r>
        <w:rPr>
          <w:lang w:val="en-US"/>
        </w:rPr>
        <w:t xml:space="preserve">(3) by </w:t>
      </w:r>
      <w:r w:rsidR="009927C6">
        <w:rPr>
          <w:lang w:val="en-US"/>
        </w:rPr>
        <w:t>replacing the punctuation in</w:t>
      </w:r>
      <w:r>
        <w:rPr>
          <w:lang w:val="en-US"/>
        </w:rPr>
        <w:t xml:space="preserve"> paragraph (b)(7)(C) </w:t>
      </w:r>
      <w:r w:rsidR="009927C6">
        <w:rPr>
          <w:lang w:val="en-US"/>
        </w:rPr>
        <w:t>with: “; or”.</w:t>
      </w:r>
    </w:p>
    <w:p w14:paraId="13F54243" w14:textId="6CB0568D" w:rsidR="00E75FC6" w:rsidRDefault="00E75FC6" w:rsidP="00C6392B">
      <w:pPr>
        <w:pStyle w:val="AODocTxt"/>
        <w:ind w:firstLine="720"/>
        <w:rPr>
          <w:lang w:val="en-US"/>
        </w:rPr>
      </w:pPr>
      <w:r>
        <w:rPr>
          <w:lang w:val="en-US"/>
        </w:rPr>
        <w:t>(4) by adding a new paragraph (b)(7)(D): “coal.”</w:t>
      </w:r>
    </w:p>
    <w:p w14:paraId="16316B13" w14:textId="41C2603C" w:rsidR="00C6392B" w:rsidRPr="00C6392B" w:rsidRDefault="00C6392B" w:rsidP="00C6392B">
      <w:pPr>
        <w:pStyle w:val="AODocTxt"/>
        <w:ind w:firstLine="720"/>
        <w:rPr>
          <w:lang w:val="en-US"/>
        </w:rPr>
      </w:pPr>
      <w:r>
        <w:rPr>
          <w:lang w:val="en-US"/>
        </w:rPr>
        <w:t>(</w:t>
      </w:r>
      <w:r w:rsidR="00E75FC6">
        <w:rPr>
          <w:lang w:val="en-US"/>
        </w:rPr>
        <w:t>5</w:t>
      </w:r>
      <w:r>
        <w:rPr>
          <w:lang w:val="en-US"/>
        </w:rPr>
        <w:t xml:space="preserve">) by striking from subsection (c) paragraph (4)(A) </w:t>
      </w:r>
      <w:r>
        <w:rPr>
          <w:i/>
          <w:lang w:val="en-US"/>
        </w:rPr>
        <w:t>in toto</w:t>
      </w:r>
      <w:r>
        <w:rPr>
          <w:lang w:val="en-US"/>
        </w:rPr>
        <w:t>.</w:t>
      </w:r>
    </w:p>
    <w:p w14:paraId="00E57007" w14:textId="1EC39306" w:rsidR="00C6392B" w:rsidRDefault="00C6392B" w:rsidP="00C6392B">
      <w:pPr>
        <w:pStyle w:val="AODocTxt"/>
        <w:rPr>
          <w:lang w:val="en-US"/>
        </w:rPr>
      </w:pPr>
      <w:r>
        <w:rPr>
          <w:lang w:val="en-US"/>
        </w:rPr>
        <w:t>(</w:t>
      </w:r>
      <w:r w:rsidR="00A2582B">
        <w:rPr>
          <w:lang w:val="en-US"/>
        </w:rPr>
        <w:t>e</w:t>
      </w:r>
      <w:r>
        <w:rPr>
          <w:lang w:val="en-US"/>
        </w:rPr>
        <w:t xml:space="preserve">) </w:t>
      </w:r>
      <w:r w:rsidRPr="002C651D">
        <w:rPr>
          <w:lang w:val="en-US"/>
        </w:rPr>
        <w:t>In General.—</w:t>
      </w:r>
      <w:r>
        <w:rPr>
          <w:lang w:val="en-US"/>
        </w:rPr>
        <w:t>Section 48A</w:t>
      </w:r>
      <w:r w:rsidRPr="00931E2A">
        <w:rPr>
          <w:lang w:val="en-US"/>
        </w:rPr>
        <w:t xml:space="preserve"> of the Internal Revenue Code of 1986</w:t>
      </w:r>
      <w:r>
        <w:rPr>
          <w:lang w:val="en-US"/>
        </w:rPr>
        <w:t xml:space="preserve"> is stricken </w:t>
      </w:r>
      <w:r>
        <w:rPr>
          <w:i/>
          <w:lang w:val="en-US"/>
        </w:rPr>
        <w:t>in toto</w:t>
      </w:r>
      <w:r>
        <w:rPr>
          <w:lang w:val="en-US"/>
        </w:rPr>
        <w:t xml:space="preserve">. </w:t>
      </w:r>
    </w:p>
    <w:p w14:paraId="7D0771E3" w14:textId="7DD643C6" w:rsidR="00C6392B" w:rsidRDefault="00C6392B" w:rsidP="00C6392B">
      <w:pPr>
        <w:pStyle w:val="AODocTxt"/>
        <w:rPr>
          <w:lang w:val="en-US"/>
        </w:rPr>
      </w:pPr>
      <w:r>
        <w:rPr>
          <w:lang w:val="en-US"/>
        </w:rPr>
        <w:t>(</w:t>
      </w:r>
      <w:r w:rsidR="00A2582B">
        <w:rPr>
          <w:lang w:val="en-US"/>
        </w:rPr>
        <w:t>f</w:t>
      </w:r>
      <w:r>
        <w:rPr>
          <w:lang w:val="en-US"/>
        </w:rPr>
        <w:t xml:space="preserve">) </w:t>
      </w:r>
      <w:r w:rsidRPr="002C651D">
        <w:rPr>
          <w:lang w:val="en-US"/>
        </w:rPr>
        <w:t>In General.—</w:t>
      </w:r>
      <w:r>
        <w:rPr>
          <w:lang w:val="en-US"/>
        </w:rPr>
        <w:t>Section 48B</w:t>
      </w:r>
      <w:r w:rsidRPr="00931E2A">
        <w:rPr>
          <w:lang w:val="en-US"/>
        </w:rPr>
        <w:t xml:space="preserve"> of the Internal Revenue Code of 1986</w:t>
      </w:r>
      <w:r>
        <w:rPr>
          <w:lang w:val="en-US"/>
        </w:rPr>
        <w:t xml:space="preserve"> is amended—</w:t>
      </w:r>
    </w:p>
    <w:p w14:paraId="0A8573AA" w14:textId="647DEBE1" w:rsidR="00C6392B" w:rsidRPr="00C6392B" w:rsidRDefault="00C6392B" w:rsidP="00C6392B">
      <w:pPr>
        <w:pStyle w:val="AODocTxt"/>
        <w:ind w:firstLine="720"/>
        <w:rPr>
          <w:lang w:val="en-US"/>
        </w:rPr>
      </w:pPr>
      <w:r>
        <w:rPr>
          <w:lang w:val="en-US"/>
        </w:rPr>
        <w:t xml:space="preserve">(1) by </w:t>
      </w:r>
      <w:r w:rsidR="001C2C60">
        <w:rPr>
          <w:lang w:val="en-US"/>
        </w:rPr>
        <w:t>amending</w:t>
      </w:r>
      <w:r>
        <w:rPr>
          <w:lang w:val="en-US"/>
        </w:rPr>
        <w:t xml:space="preserve"> subsection (c) paragraph (2)</w:t>
      </w:r>
      <w:r w:rsidR="001C2C60">
        <w:rPr>
          <w:lang w:val="en-US"/>
        </w:rPr>
        <w:t>: “</w:t>
      </w:r>
      <w:r w:rsidR="001C2C60" w:rsidRPr="001C2C60">
        <w:rPr>
          <w:lang w:val="en-US"/>
        </w:rPr>
        <w:t>The term “gasification technology” means any process which converts a solid or liquid product from petroleum residue, biomass, or other materials</w:t>
      </w:r>
      <w:r w:rsidR="001C2C60">
        <w:rPr>
          <w:lang w:val="en-US"/>
        </w:rPr>
        <w:t xml:space="preserve"> (other than coal)</w:t>
      </w:r>
      <w:r w:rsidR="001C2C60" w:rsidRPr="001C2C60">
        <w:rPr>
          <w:lang w:val="en-US"/>
        </w:rPr>
        <w:t xml:space="preserve"> which are recovered for their energy or feedstock value into a synthesis gas composed primarily of carbon monoxide and hydrogen for direct use or subsequent chemica</w:t>
      </w:r>
      <w:r w:rsidR="001C2C60">
        <w:rPr>
          <w:lang w:val="en-US"/>
        </w:rPr>
        <w:t>l or physical conversion</w:t>
      </w:r>
      <w:r>
        <w:rPr>
          <w:lang w:val="en-US"/>
        </w:rPr>
        <w:t>.</w:t>
      </w:r>
      <w:r w:rsidR="001C2C60">
        <w:rPr>
          <w:lang w:val="en-US"/>
        </w:rPr>
        <w:t>”</w:t>
      </w:r>
    </w:p>
    <w:p w14:paraId="34BB83D7" w14:textId="5CFBE875" w:rsidR="00C6392B" w:rsidRDefault="00C6392B" w:rsidP="00EF18BF">
      <w:pPr>
        <w:pStyle w:val="AODocTxt"/>
        <w:rPr>
          <w:lang w:val="en-US"/>
        </w:rPr>
      </w:pPr>
      <w:r>
        <w:rPr>
          <w:lang w:val="en-US"/>
        </w:rPr>
        <w:t>(</w:t>
      </w:r>
      <w:r w:rsidR="00A2582B">
        <w:rPr>
          <w:lang w:val="en-US"/>
        </w:rPr>
        <w:t>g</w:t>
      </w:r>
      <w:r>
        <w:rPr>
          <w:lang w:val="en-US"/>
        </w:rPr>
        <w:t xml:space="preserve">) </w:t>
      </w:r>
      <w:r w:rsidRPr="002C651D">
        <w:rPr>
          <w:lang w:val="en-US"/>
        </w:rPr>
        <w:t>In General.—</w:t>
      </w:r>
      <w:r w:rsidRPr="00931E2A">
        <w:rPr>
          <w:lang w:val="en-US"/>
        </w:rPr>
        <w:t>Section 45 of the Internal Revenue Code of 1986</w:t>
      </w:r>
      <w:r>
        <w:rPr>
          <w:lang w:val="en-US"/>
        </w:rPr>
        <w:t xml:space="preserve"> is amended—</w:t>
      </w:r>
    </w:p>
    <w:p w14:paraId="540F1143" w14:textId="20CB2454" w:rsidR="00B267C9" w:rsidRDefault="00B267C9" w:rsidP="00EB5035">
      <w:pPr>
        <w:pStyle w:val="AODocTxt"/>
        <w:ind w:firstLine="720"/>
        <w:rPr>
          <w:lang w:val="en-US"/>
        </w:rPr>
      </w:pPr>
      <w:r>
        <w:rPr>
          <w:lang w:val="en-US"/>
        </w:rPr>
        <w:t xml:space="preserve">(1) by striking from subsection (c) paragraphs (7) and (9) </w:t>
      </w:r>
      <w:r>
        <w:rPr>
          <w:i/>
          <w:lang w:val="en-US"/>
        </w:rPr>
        <w:t>in toto</w:t>
      </w:r>
      <w:r>
        <w:rPr>
          <w:lang w:val="en-US"/>
        </w:rPr>
        <w:t>.</w:t>
      </w:r>
      <w:r w:rsidR="00D72514">
        <w:rPr>
          <w:rStyle w:val="FootnoteReference"/>
          <w:lang w:val="en-US"/>
        </w:rPr>
        <w:footnoteReference w:id="7"/>
      </w:r>
    </w:p>
    <w:p w14:paraId="2A3E599D" w14:textId="110E1622" w:rsidR="00B267C9" w:rsidRDefault="00B267C9" w:rsidP="00EB5035">
      <w:pPr>
        <w:pStyle w:val="AODocTxt"/>
        <w:ind w:firstLine="720"/>
        <w:rPr>
          <w:lang w:val="en-US"/>
        </w:rPr>
      </w:pPr>
      <w:r>
        <w:rPr>
          <w:lang w:val="en-US"/>
        </w:rPr>
        <w:t xml:space="preserve">(2) </w:t>
      </w:r>
      <w:r w:rsidR="000A01CB">
        <w:rPr>
          <w:lang w:val="en-US"/>
        </w:rPr>
        <w:t>by striking “with coal” and “or with both” of clause (ii) from subsection (d)(2)(A).</w:t>
      </w:r>
      <w:r w:rsidR="00931E2A">
        <w:rPr>
          <w:rStyle w:val="FootnoteReference"/>
          <w:lang w:val="en-US"/>
        </w:rPr>
        <w:footnoteReference w:id="8"/>
      </w:r>
    </w:p>
    <w:p w14:paraId="733AB2FD" w14:textId="15C3194D" w:rsidR="00321FEE" w:rsidRDefault="00321FEE" w:rsidP="00EB5035">
      <w:pPr>
        <w:pStyle w:val="AODocTxt"/>
        <w:ind w:firstLine="720"/>
        <w:rPr>
          <w:lang w:val="en-US"/>
        </w:rPr>
      </w:pPr>
      <w:r>
        <w:rPr>
          <w:lang w:val="en-US"/>
        </w:rPr>
        <w:lastRenderedPageBreak/>
        <w:t>(3) by striking paragraphs (8) and (10) from subsection (d).</w:t>
      </w:r>
      <w:r w:rsidR="00D72514">
        <w:rPr>
          <w:rStyle w:val="FootnoteReference"/>
          <w:lang w:val="en-US"/>
        </w:rPr>
        <w:footnoteReference w:id="9"/>
      </w:r>
    </w:p>
    <w:p w14:paraId="27B20F86" w14:textId="2CEA2C50" w:rsidR="002C651D" w:rsidRDefault="00D72514" w:rsidP="00C6392B">
      <w:pPr>
        <w:pStyle w:val="AODocTxt"/>
        <w:ind w:firstLine="720"/>
        <w:rPr>
          <w:lang w:val="en-US"/>
        </w:rPr>
      </w:pPr>
      <w:r>
        <w:rPr>
          <w:lang w:val="en-US"/>
        </w:rPr>
        <w:t xml:space="preserve"> </w:t>
      </w:r>
      <w:r w:rsidR="00321FEE">
        <w:rPr>
          <w:lang w:val="en-US"/>
        </w:rPr>
        <w:t>(4) by striking paragraphs (8) and (10) from subsection (e), as well as subparagraph (9)(B).</w:t>
      </w:r>
      <w:r w:rsidR="00931E2A">
        <w:rPr>
          <w:rStyle w:val="FootnoteReference"/>
          <w:lang w:val="en-US"/>
        </w:rPr>
        <w:footnoteReference w:id="10"/>
      </w:r>
    </w:p>
    <w:p w14:paraId="2660CA20" w14:textId="577494EC" w:rsidR="001E79DF" w:rsidRPr="00FE31DC" w:rsidRDefault="002C651D" w:rsidP="001E79DF">
      <w:pPr>
        <w:pStyle w:val="AODocTxt"/>
      </w:pPr>
      <w:r w:rsidRPr="002C651D">
        <w:rPr>
          <w:lang w:val="en-US"/>
        </w:rPr>
        <w:t>(</w:t>
      </w:r>
      <w:r w:rsidR="00A2582B">
        <w:rPr>
          <w:lang w:val="en-US"/>
        </w:rPr>
        <w:t>h</w:t>
      </w:r>
      <w:r w:rsidRPr="002C651D">
        <w:rPr>
          <w:lang w:val="en-US"/>
        </w:rPr>
        <w:t xml:space="preserve">) Effective Date.—The amendments made by this section shall apply </w:t>
      </w:r>
      <w:r w:rsidR="00EC24D5">
        <w:rPr>
          <w:lang w:val="en-US"/>
        </w:rPr>
        <w:t>as of</w:t>
      </w:r>
      <w:r w:rsidRPr="002C651D">
        <w:rPr>
          <w:lang w:val="en-US"/>
        </w:rPr>
        <w:t xml:space="preserve"> </w:t>
      </w:r>
      <w:r w:rsidR="001C2C60" w:rsidRPr="00214054">
        <w:rPr>
          <w:lang w:val="en-US"/>
        </w:rPr>
        <w:t>[</w:t>
      </w:r>
      <w:r w:rsidR="00857F4A" w:rsidRPr="00214054">
        <w:rPr>
          <w:lang w:val="en-US"/>
        </w:rPr>
        <w:t>Date</w:t>
      </w:r>
      <w:r w:rsidR="001C2C60" w:rsidRPr="00214054">
        <w:rPr>
          <w:lang w:val="en-US"/>
        </w:rPr>
        <w:t>]</w:t>
      </w:r>
      <w:r w:rsidRPr="00214054">
        <w:rPr>
          <w:lang w:val="en-US"/>
        </w:rPr>
        <w:t>.</w:t>
      </w:r>
      <w:r w:rsidR="00EA2BB7">
        <w:rPr>
          <w:rStyle w:val="FootnoteReference"/>
          <w:lang w:val="en-US"/>
        </w:rPr>
        <w:footnoteReference w:id="11"/>
      </w:r>
      <w:r w:rsidR="00FE31DC" w:rsidRPr="00214054" w:rsidDel="00FE31DC">
        <w:rPr>
          <w:lang w:val="en-US"/>
        </w:rPr>
        <w:t xml:space="preserve"> </w:t>
      </w:r>
    </w:p>
    <w:sectPr w:rsidR="001E79DF" w:rsidRPr="00FE31DC" w:rsidSect="003B64A0">
      <w:headerReference w:type="default" r:id="rId8"/>
      <w:footerReference w:type="default" r:id="rId9"/>
      <w:headerReference w:type="first" r:id="rId10"/>
      <w:footerReference w:type="first" r:id="rId11"/>
      <w:pgSz w:w="12240" w:h="15840"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EAD9C" w14:textId="77777777" w:rsidR="00ED7D0B" w:rsidRPr="00920631" w:rsidRDefault="00ED7D0B" w:rsidP="001E7139">
      <w:r w:rsidRPr="00920631">
        <w:separator/>
      </w:r>
    </w:p>
  </w:endnote>
  <w:endnote w:type="continuationSeparator" w:id="0">
    <w:p w14:paraId="1949CF4A" w14:textId="77777777" w:rsidR="00ED7D0B" w:rsidRPr="00920631" w:rsidRDefault="00ED7D0B"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320"/>
      <w:gridCol w:w="3325"/>
      <w:gridCol w:w="3327"/>
    </w:tblGrid>
    <w:tr w:rsidR="00BB07C3" w:rsidRPr="00920631" w14:paraId="458A69EA" w14:textId="77777777" w:rsidTr="00860FC9">
      <w:tc>
        <w:tcPr>
          <w:tcW w:w="5000" w:type="pct"/>
          <w:gridSpan w:val="3"/>
          <w:tcMar>
            <w:top w:w="170" w:type="dxa"/>
          </w:tcMar>
        </w:tcPr>
        <w:p w14:paraId="71041AF0" w14:textId="1E9FD0EE" w:rsidR="00BB07C3" w:rsidRPr="00920631" w:rsidRDefault="00FF1421" w:rsidP="007D75EC">
          <w:pPr>
            <w:pStyle w:val="AONormal8LBold"/>
          </w:pPr>
          <w:r>
            <w:t xml:space="preserve"> </w:t>
          </w:r>
        </w:p>
      </w:tc>
    </w:tr>
    <w:tr w:rsidR="00BB07C3" w:rsidRPr="00920631" w14:paraId="0A3A1955" w14:textId="77777777" w:rsidTr="00860FC9">
      <w:tc>
        <w:tcPr>
          <w:tcW w:w="1665" w:type="pct"/>
        </w:tcPr>
        <w:p w14:paraId="6A0E123E" w14:textId="09D8BD6C" w:rsidR="00BB07C3" w:rsidRPr="00920631" w:rsidRDefault="00FF1421" w:rsidP="007D75EC">
          <w:pPr>
            <w:pStyle w:val="AONormal8L"/>
          </w:pPr>
          <w:r>
            <w:t>0129508-0000001 NYO1: 1144589040.7</w:t>
          </w:r>
        </w:p>
      </w:tc>
      <w:tc>
        <w:tcPr>
          <w:tcW w:w="1667" w:type="pct"/>
        </w:tcPr>
        <w:p w14:paraId="38DEC55E" w14:textId="5617F47C" w:rsidR="00BB07C3" w:rsidRPr="00920631" w:rsidRDefault="00BB07C3" w:rsidP="007D75EC">
          <w:pPr>
            <w:pStyle w:val="AONormal8C"/>
          </w:pPr>
          <w:r w:rsidRPr="00920631">
            <w:fldChar w:fldCharType="begin"/>
          </w:r>
          <w:r w:rsidRPr="00920631">
            <w:instrText xml:space="preserve"> PAGE  \* Arabic  \* MERGEFORMAT </w:instrText>
          </w:r>
          <w:r w:rsidRPr="00920631">
            <w:fldChar w:fldCharType="separate"/>
          </w:r>
          <w:r w:rsidR="0055442E">
            <w:rPr>
              <w:noProof/>
            </w:rPr>
            <w:t>1</w:t>
          </w:r>
          <w:r w:rsidRPr="00920631">
            <w:fldChar w:fldCharType="end"/>
          </w:r>
        </w:p>
      </w:tc>
      <w:tc>
        <w:tcPr>
          <w:tcW w:w="1667" w:type="pct"/>
        </w:tcPr>
        <w:p w14:paraId="55466FC1" w14:textId="77777777" w:rsidR="00BB07C3" w:rsidRPr="00920631" w:rsidRDefault="00BB07C3" w:rsidP="007D75EC">
          <w:pPr>
            <w:pStyle w:val="AONormal8R"/>
          </w:pPr>
        </w:p>
      </w:tc>
    </w:tr>
  </w:tbl>
  <w:p w14:paraId="71EA79AA" w14:textId="77777777" w:rsidR="0061772E" w:rsidRPr="00920631" w:rsidRDefault="00000000" w:rsidP="008C14D4">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322"/>
      <w:gridCol w:w="3325"/>
      <w:gridCol w:w="3325"/>
    </w:tblGrid>
    <w:tr w:rsidR="005D5CB3" w14:paraId="19F262FA" w14:textId="77777777" w:rsidTr="005D5CB3">
      <w:tc>
        <w:tcPr>
          <w:tcW w:w="5000" w:type="pct"/>
          <w:gridSpan w:val="3"/>
          <w:tcMar>
            <w:top w:w="170" w:type="dxa"/>
          </w:tcMar>
        </w:tcPr>
        <w:p w14:paraId="0D87486E" w14:textId="4BB0A689" w:rsidR="005D5CB3" w:rsidRDefault="00FF1421" w:rsidP="005D5CB3">
          <w:pPr>
            <w:pStyle w:val="AONormal8LBold"/>
          </w:pPr>
          <w:r>
            <w:t xml:space="preserve"> </w:t>
          </w:r>
        </w:p>
      </w:tc>
    </w:tr>
    <w:tr w:rsidR="005D5CB3" w14:paraId="731D66F6" w14:textId="77777777" w:rsidTr="005D5CB3">
      <w:tc>
        <w:tcPr>
          <w:tcW w:w="1666" w:type="pct"/>
        </w:tcPr>
        <w:p w14:paraId="02CBE172" w14:textId="095E257F" w:rsidR="005D5CB3" w:rsidRDefault="00FF1421" w:rsidP="005D5CB3">
          <w:pPr>
            <w:pStyle w:val="AONormal8L"/>
          </w:pPr>
          <w:r>
            <w:t>0129508-0000001 NYO1: 1144589040.7</w:t>
          </w:r>
        </w:p>
      </w:tc>
      <w:tc>
        <w:tcPr>
          <w:tcW w:w="1667" w:type="pct"/>
        </w:tcPr>
        <w:p w14:paraId="629496F9" w14:textId="1B614B79" w:rsidR="005D5CB3" w:rsidRDefault="005D5CB3" w:rsidP="005D5CB3">
          <w:pPr>
            <w:pStyle w:val="AONormal8C"/>
          </w:pPr>
          <w:r>
            <w:fldChar w:fldCharType="begin"/>
          </w:r>
          <w:r>
            <w:instrText xml:space="preserve"> PAGE  \* Arabic  \* MERGEFORMAT </w:instrText>
          </w:r>
          <w:r>
            <w:fldChar w:fldCharType="separate"/>
          </w:r>
          <w:r w:rsidR="00854718">
            <w:rPr>
              <w:noProof/>
            </w:rPr>
            <w:t>3</w:t>
          </w:r>
          <w:r>
            <w:fldChar w:fldCharType="end"/>
          </w:r>
        </w:p>
      </w:tc>
      <w:tc>
        <w:tcPr>
          <w:tcW w:w="1667" w:type="pct"/>
        </w:tcPr>
        <w:p w14:paraId="7970B003" w14:textId="77777777" w:rsidR="005D5CB3" w:rsidRDefault="005D5CB3" w:rsidP="005D5CB3">
          <w:pPr>
            <w:pStyle w:val="AONormal8R"/>
          </w:pPr>
        </w:p>
      </w:tc>
    </w:tr>
  </w:tbl>
  <w:p w14:paraId="4A03DF95" w14:textId="77777777" w:rsidR="005D5CB3" w:rsidRDefault="005D5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5D37E" w14:textId="77777777" w:rsidR="00ED7D0B" w:rsidRPr="00920631" w:rsidRDefault="00ED7D0B" w:rsidP="001E7139">
      <w:r w:rsidRPr="00920631">
        <w:separator/>
      </w:r>
    </w:p>
  </w:footnote>
  <w:footnote w:type="continuationSeparator" w:id="0">
    <w:p w14:paraId="1D54E016" w14:textId="77777777" w:rsidR="00ED7D0B" w:rsidRPr="00920631" w:rsidRDefault="00ED7D0B" w:rsidP="001E7139">
      <w:r w:rsidRPr="00920631">
        <w:continuationSeparator/>
      </w:r>
    </w:p>
  </w:footnote>
  <w:footnote w:id="1">
    <w:p w14:paraId="6E2B9CF0" w14:textId="465C65B6" w:rsidR="00EB21A5" w:rsidRPr="00FA7EC1" w:rsidRDefault="00931E2A" w:rsidP="00214054">
      <w:pPr>
        <w:pStyle w:val="AODocTxt"/>
        <w:spacing w:before="0"/>
        <w:rPr>
          <w:sz w:val="18"/>
          <w:szCs w:val="18"/>
          <w:lang w:val="en-US"/>
        </w:rPr>
      </w:pPr>
      <w:r w:rsidRPr="00FA7EC1">
        <w:rPr>
          <w:rStyle w:val="FootnoteReference"/>
          <w:sz w:val="18"/>
          <w:szCs w:val="18"/>
        </w:rPr>
        <w:footnoteRef/>
      </w:r>
      <w:r w:rsidRPr="00FA7EC1">
        <w:rPr>
          <w:sz w:val="18"/>
          <w:szCs w:val="18"/>
        </w:rPr>
        <w:t xml:space="preserve"> </w:t>
      </w:r>
      <w:r w:rsidRPr="00FA7EC1">
        <w:rPr>
          <w:sz w:val="18"/>
          <w:szCs w:val="18"/>
          <w:lang w:val="en-US"/>
        </w:rPr>
        <w:t>This subsection currently exempts the income realized by any owner as a co-adventurer, partner, or principal in the mining of such coal or iron ore, from the provision that the owner shall not be entitled to the allowance for percentage depletion if for the taxable year of such gain or loss the maximum rate of tax imposed by this chapter on any net capital gain is less than such maximum rate for ordinary income</w:t>
      </w:r>
      <w:r w:rsidR="00FA7EC1">
        <w:rPr>
          <w:sz w:val="18"/>
          <w:szCs w:val="18"/>
          <w:lang w:val="en-US"/>
        </w:rPr>
        <w:t>.</w:t>
      </w:r>
      <w:r w:rsidRPr="00FA7EC1">
        <w:rPr>
          <w:sz w:val="18"/>
          <w:szCs w:val="18"/>
          <w:lang w:val="en-US"/>
        </w:rPr>
        <w:t xml:space="preserve"> By striking references to coal in this section, the owner as a co-adventurer, partner, or principal in the mining of coal who meets the above criterion will not be entitled to the allowance for the percentage depletion referenced above.</w:t>
      </w:r>
    </w:p>
  </w:footnote>
  <w:footnote w:id="2">
    <w:p w14:paraId="75F32752" w14:textId="447A36CF" w:rsidR="00931E2A" w:rsidRPr="00FA7EC1" w:rsidRDefault="00931E2A" w:rsidP="00214054">
      <w:pPr>
        <w:pStyle w:val="AODocTxt"/>
        <w:spacing w:before="0"/>
        <w:rPr>
          <w:i/>
          <w:sz w:val="18"/>
          <w:szCs w:val="18"/>
          <w:lang w:val="en-US"/>
        </w:rPr>
      </w:pPr>
      <w:r w:rsidRPr="00FA7EC1">
        <w:rPr>
          <w:rStyle w:val="FootnoteReference"/>
          <w:sz w:val="18"/>
          <w:szCs w:val="18"/>
        </w:rPr>
        <w:footnoteRef/>
      </w:r>
      <w:r w:rsidRPr="00FA7EC1">
        <w:rPr>
          <w:sz w:val="18"/>
          <w:szCs w:val="18"/>
        </w:rPr>
        <w:t xml:space="preserve"> </w:t>
      </w:r>
      <w:r w:rsidR="009C600F">
        <w:rPr>
          <w:sz w:val="18"/>
          <w:szCs w:val="18"/>
        </w:rPr>
        <w:t xml:space="preserve">This change reflects that because coal-related expenditures are no longer deductible under Section 617(a), it should no longer be necessary to include coal in the definition of mining property.  </w:t>
      </w:r>
    </w:p>
  </w:footnote>
  <w:footnote w:id="3">
    <w:p w14:paraId="12958357" w14:textId="493540B9" w:rsidR="00931E2A" w:rsidRPr="002D56C4" w:rsidRDefault="00931E2A" w:rsidP="002D56C4">
      <w:pPr>
        <w:pStyle w:val="AODocTxt"/>
        <w:spacing w:before="0"/>
        <w:rPr>
          <w:sz w:val="18"/>
          <w:szCs w:val="18"/>
          <w:lang w:val="en-US"/>
        </w:rPr>
      </w:pPr>
      <w:r w:rsidRPr="00FA7EC1">
        <w:rPr>
          <w:rStyle w:val="FootnoteReference"/>
          <w:sz w:val="18"/>
          <w:szCs w:val="18"/>
        </w:rPr>
        <w:footnoteRef/>
      </w:r>
      <w:r w:rsidRPr="00FA7EC1">
        <w:rPr>
          <w:sz w:val="18"/>
          <w:szCs w:val="18"/>
        </w:rPr>
        <w:t xml:space="preserve"> </w:t>
      </w:r>
      <w:r w:rsidR="009C600F" w:rsidRPr="009C600F">
        <w:rPr>
          <w:sz w:val="18"/>
          <w:szCs w:val="18"/>
        </w:rPr>
        <w:t xml:space="preserve">This change reflects that because coal-related expenditures are no longer deductible under Section 617(a), it should no longer be necessary to </w:t>
      </w:r>
      <w:r w:rsidR="009C600F">
        <w:rPr>
          <w:sz w:val="18"/>
          <w:szCs w:val="18"/>
        </w:rPr>
        <w:t>address coal-related dispositions</w:t>
      </w:r>
      <w:r w:rsidR="009C600F" w:rsidRPr="009C600F">
        <w:rPr>
          <w:sz w:val="18"/>
          <w:szCs w:val="18"/>
        </w:rPr>
        <w:t xml:space="preserve">.  </w:t>
      </w:r>
    </w:p>
  </w:footnote>
  <w:footnote w:id="4">
    <w:p w14:paraId="6E420337" w14:textId="7C696210" w:rsidR="00272FC4" w:rsidRDefault="00272FC4" w:rsidP="002D56C4">
      <w:pPr>
        <w:pStyle w:val="FootnoteText"/>
        <w:ind w:left="0" w:firstLine="0"/>
        <w:rPr>
          <w:sz w:val="18"/>
          <w:szCs w:val="18"/>
          <w:lang w:val="en-US"/>
        </w:rPr>
      </w:pPr>
      <w:r>
        <w:rPr>
          <w:rStyle w:val="FootnoteReference"/>
        </w:rPr>
        <w:footnoteRef/>
      </w:r>
      <w:r>
        <w:t xml:space="preserve"> </w:t>
      </w:r>
      <w:r>
        <w:rPr>
          <w:sz w:val="18"/>
          <w:szCs w:val="18"/>
        </w:rPr>
        <w:t>T</w:t>
      </w:r>
      <w:r w:rsidRPr="00FA7EC1">
        <w:rPr>
          <w:sz w:val="18"/>
          <w:szCs w:val="18"/>
          <w:lang w:val="en-US"/>
        </w:rPr>
        <w:t>o the extent that this provision can be construed as permitting the charging of deductions for expenditures related to coal, clarifying that coal cannot be considered “</w:t>
      </w:r>
      <w:r>
        <w:rPr>
          <w:sz w:val="18"/>
          <w:szCs w:val="18"/>
          <w:lang w:val="en-US"/>
        </w:rPr>
        <w:t>ore or other minerals</w:t>
      </w:r>
      <w:r w:rsidRPr="00FA7EC1">
        <w:rPr>
          <w:sz w:val="18"/>
          <w:szCs w:val="18"/>
          <w:lang w:val="en-US"/>
        </w:rPr>
        <w:t>” for these purposes has the effect of disallowing such deductions for coal-related expenditures.</w:t>
      </w:r>
    </w:p>
    <w:p w14:paraId="71E3EE08" w14:textId="77777777" w:rsidR="00256680" w:rsidRPr="00FE31DC" w:rsidRDefault="00256680" w:rsidP="002D56C4">
      <w:pPr>
        <w:pStyle w:val="FootnoteText"/>
        <w:ind w:left="0" w:firstLine="0"/>
        <w:rPr>
          <w:sz w:val="18"/>
          <w:szCs w:val="18"/>
        </w:rPr>
      </w:pPr>
    </w:p>
  </w:footnote>
  <w:footnote w:id="5">
    <w:p w14:paraId="6E188F75" w14:textId="3863BBDF" w:rsidR="00272FC4" w:rsidRPr="00272FC4" w:rsidRDefault="00272FC4" w:rsidP="002D56C4">
      <w:pPr>
        <w:pStyle w:val="FootnoteText"/>
        <w:ind w:left="0" w:firstLine="0"/>
      </w:pPr>
      <w:r>
        <w:rPr>
          <w:rStyle w:val="FootnoteReference"/>
        </w:rPr>
        <w:footnoteRef/>
      </w:r>
      <w:r>
        <w:t xml:space="preserve"> </w:t>
      </w:r>
      <w:r>
        <w:rPr>
          <w:sz w:val="18"/>
          <w:szCs w:val="18"/>
        </w:rPr>
        <w:t>T</w:t>
      </w:r>
      <w:r w:rsidRPr="00FA7EC1">
        <w:rPr>
          <w:sz w:val="18"/>
          <w:szCs w:val="18"/>
          <w:lang w:val="en-US"/>
        </w:rPr>
        <w:t>o the extent that this provision can be construed as permitting the charging of deductions for expenditures related to coal</w:t>
      </w:r>
      <w:r>
        <w:rPr>
          <w:sz w:val="18"/>
          <w:szCs w:val="18"/>
          <w:lang w:val="en-US"/>
        </w:rPr>
        <w:t xml:space="preserve">, clarifying that </w:t>
      </w:r>
      <w:r w:rsidRPr="00FA7EC1">
        <w:rPr>
          <w:sz w:val="18"/>
          <w:szCs w:val="18"/>
          <w:lang w:val="en-US"/>
        </w:rPr>
        <w:t>coal cannot be considered “</w:t>
      </w:r>
      <w:r>
        <w:rPr>
          <w:sz w:val="18"/>
          <w:szCs w:val="18"/>
          <w:lang w:val="en-US"/>
        </w:rPr>
        <w:t>ore or other minerals</w:t>
      </w:r>
      <w:r w:rsidRPr="00FA7EC1">
        <w:rPr>
          <w:sz w:val="18"/>
          <w:szCs w:val="18"/>
          <w:lang w:val="en-US"/>
        </w:rPr>
        <w:t>” for these purposes has the effect of disallowing s</w:t>
      </w:r>
      <w:r>
        <w:rPr>
          <w:sz w:val="18"/>
          <w:szCs w:val="18"/>
          <w:lang w:val="en-US"/>
        </w:rPr>
        <w:t xml:space="preserve">uch deductions for coal-related </w:t>
      </w:r>
      <w:r w:rsidRPr="00FA7EC1">
        <w:rPr>
          <w:sz w:val="18"/>
          <w:szCs w:val="18"/>
          <w:lang w:val="en-US"/>
        </w:rPr>
        <w:t>expenditures.</w:t>
      </w:r>
    </w:p>
  </w:footnote>
  <w:footnote w:id="6">
    <w:p w14:paraId="0D2F2965" w14:textId="67C64826" w:rsidR="00256680" w:rsidRPr="00FA7EC1" w:rsidRDefault="00256680" w:rsidP="002D56C4">
      <w:pPr>
        <w:pStyle w:val="AODocTxt"/>
        <w:spacing w:before="0"/>
        <w:rPr>
          <w:i/>
          <w:sz w:val="18"/>
          <w:szCs w:val="18"/>
          <w:lang w:val="en-US"/>
        </w:rPr>
      </w:pPr>
      <w:r w:rsidRPr="00FA7EC1">
        <w:rPr>
          <w:rStyle w:val="FootnoteReference"/>
          <w:sz w:val="18"/>
          <w:szCs w:val="18"/>
        </w:rPr>
        <w:footnoteRef/>
      </w:r>
      <w:r w:rsidRPr="00FA7EC1">
        <w:rPr>
          <w:sz w:val="18"/>
          <w:szCs w:val="18"/>
        </w:rPr>
        <w:t xml:space="preserve"> </w:t>
      </w:r>
      <w:r w:rsidRPr="00256680">
        <w:rPr>
          <w:sz w:val="18"/>
          <w:szCs w:val="18"/>
        </w:rPr>
        <w:t>T</w:t>
      </w:r>
      <w:r w:rsidRPr="00256680">
        <w:rPr>
          <w:sz w:val="18"/>
          <w:szCs w:val="18"/>
          <w:lang w:val="en-US"/>
        </w:rPr>
        <w:t>o the extent that this provision can be construed as permitting the charging of deductions for expenditures related to coal</w:t>
      </w:r>
      <w:r>
        <w:rPr>
          <w:sz w:val="18"/>
          <w:szCs w:val="18"/>
          <w:lang w:val="en-US"/>
        </w:rPr>
        <w:t>, t</w:t>
      </w:r>
      <w:r>
        <w:rPr>
          <w:sz w:val="18"/>
          <w:szCs w:val="18"/>
        </w:rPr>
        <w:t xml:space="preserve">his change reflects that because coal-related expenditures are no longer deductible under Section 616, it should no longer be necessary to include coal in the definition of mine or deposit.  </w:t>
      </w:r>
    </w:p>
  </w:footnote>
  <w:footnote w:id="7">
    <w:p w14:paraId="2C3D6782" w14:textId="15485D43" w:rsidR="00D72514" w:rsidRPr="00D72514" w:rsidRDefault="00D72514" w:rsidP="002D56C4">
      <w:pPr>
        <w:pStyle w:val="AODocTxt"/>
        <w:spacing w:before="0"/>
        <w:rPr>
          <w:sz w:val="18"/>
          <w:szCs w:val="18"/>
          <w:lang w:val="en-US"/>
        </w:rPr>
      </w:pPr>
      <w:r w:rsidRPr="00D72514">
        <w:rPr>
          <w:rStyle w:val="FootnoteReference"/>
          <w:sz w:val="18"/>
          <w:szCs w:val="18"/>
        </w:rPr>
        <w:footnoteRef/>
      </w:r>
      <w:r w:rsidRPr="00D72514">
        <w:rPr>
          <w:sz w:val="18"/>
          <w:szCs w:val="18"/>
        </w:rPr>
        <w:t xml:space="preserve"> </w:t>
      </w:r>
      <w:r w:rsidRPr="00D72514">
        <w:rPr>
          <w:sz w:val="18"/>
          <w:szCs w:val="18"/>
          <w:lang w:val="en-US"/>
        </w:rPr>
        <w:t xml:space="preserve">Paragraphs 7 and 9 of subsection (c) introduce the terms, “Refined coal” and “Indian coal”, whose related terms will be removed. The purpose of striking these paragraphs is to avoid the potential confusion that would arise from introducing the terms “Refined coal” and “Indian coal” without any further reference to them to explain their relevance. </w:t>
      </w:r>
    </w:p>
  </w:footnote>
  <w:footnote w:id="8">
    <w:p w14:paraId="25219D9E" w14:textId="6DE631EB" w:rsidR="00931E2A" w:rsidRPr="00D72514" w:rsidRDefault="00931E2A" w:rsidP="002D56C4">
      <w:pPr>
        <w:pStyle w:val="AODocTxt"/>
        <w:spacing w:before="0"/>
        <w:rPr>
          <w:i/>
          <w:sz w:val="18"/>
          <w:szCs w:val="18"/>
          <w:lang w:val="en-US"/>
        </w:rPr>
      </w:pPr>
      <w:r w:rsidRPr="00D72514">
        <w:rPr>
          <w:rStyle w:val="FootnoteReference"/>
          <w:sz w:val="18"/>
          <w:szCs w:val="18"/>
        </w:rPr>
        <w:footnoteRef/>
      </w:r>
      <w:r w:rsidRPr="00D72514">
        <w:rPr>
          <w:sz w:val="18"/>
          <w:szCs w:val="18"/>
        </w:rPr>
        <w:t xml:space="preserve"> </w:t>
      </w:r>
      <w:r w:rsidRPr="00D72514">
        <w:rPr>
          <w:sz w:val="18"/>
          <w:szCs w:val="18"/>
          <w:lang w:val="en-US"/>
        </w:rPr>
        <w:t>As currently defined, the renewable electricity production credit is available for taxpayers that produce electricity subject to certain conditions, including without limitation that it be generated at a “qualified facility”. “Qualified facilities” include closed-loop biomass facilities which meet certain criteria, including those which use closed-loop biomass to co-fire with coal.  By striking references to coal in this criterion, the closed-loop biomass facilities that qualify as “qualified facilities” for these purposes may not co-fire with coal, thus eliminating a tax benefit for facilities that use coal in addition to biomass, as opposed to those facilities using only biomass.</w:t>
      </w:r>
    </w:p>
  </w:footnote>
  <w:footnote w:id="9">
    <w:p w14:paraId="78AE4C4D" w14:textId="7089726B" w:rsidR="00D72514" w:rsidRPr="00D72514" w:rsidRDefault="00D72514" w:rsidP="002D56C4">
      <w:pPr>
        <w:pStyle w:val="AODocTxt"/>
        <w:spacing w:before="0"/>
        <w:rPr>
          <w:sz w:val="18"/>
          <w:szCs w:val="18"/>
          <w:lang w:val="en-US"/>
        </w:rPr>
      </w:pPr>
      <w:r w:rsidRPr="00D72514">
        <w:rPr>
          <w:rStyle w:val="FootnoteReference"/>
          <w:sz w:val="18"/>
          <w:szCs w:val="18"/>
        </w:rPr>
        <w:footnoteRef/>
      </w:r>
      <w:r w:rsidRPr="00D72514">
        <w:rPr>
          <w:sz w:val="18"/>
          <w:szCs w:val="18"/>
        </w:rPr>
        <w:t xml:space="preserve"> </w:t>
      </w:r>
      <w:r w:rsidRPr="00D72514">
        <w:rPr>
          <w:sz w:val="18"/>
          <w:szCs w:val="18"/>
          <w:lang w:val="en-US"/>
        </w:rPr>
        <w:t>Refined coal production facility (8) and Indian coal production facility (10) fall under the category of “qualified facility” of which the amount of renewable electricity production credit for any taxable year is reduced by one half the original amount stipulated in (a)(1), 1.5 cents multiplied by the kilowatt hours of electricity. By striking paragraphs (8) and (10) from (d), Refined and Indian coal production facilities will not be subject to the same credit allocation as the rest of the “qualified facilities”.</w:t>
      </w:r>
    </w:p>
  </w:footnote>
  <w:footnote w:id="10">
    <w:p w14:paraId="7493A7EC" w14:textId="2E820A43" w:rsidR="00931E2A" w:rsidRPr="00931E2A" w:rsidRDefault="00931E2A" w:rsidP="00182B86">
      <w:pPr>
        <w:pStyle w:val="AODocTxt"/>
        <w:spacing w:before="0"/>
        <w:rPr>
          <w:lang w:val="en-US"/>
        </w:rPr>
      </w:pPr>
      <w:r w:rsidRPr="00D72514">
        <w:rPr>
          <w:rStyle w:val="FootnoteReference"/>
          <w:sz w:val="18"/>
          <w:szCs w:val="18"/>
        </w:rPr>
        <w:footnoteRef/>
      </w:r>
      <w:r w:rsidRPr="00D72514">
        <w:rPr>
          <w:sz w:val="18"/>
          <w:szCs w:val="18"/>
        </w:rPr>
        <w:t xml:space="preserve"> </w:t>
      </w:r>
      <w:r w:rsidRPr="00D72514">
        <w:rPr>
          <w:sz w:val="18"/>
          <w:szCs w:val="18"/>
          <w:lang w:val="en-US"/>
        </w:rPr>
        <w:t>Paragraphs 8 and 10 of subsection (e) provide the mechanisms for tax credit allocations for refined coal and Indian coal, respectively, subject to certain pricing and criteria.  By striking these paragraphs, the allocation of the tax credits for these coal production activities is removed.</w:t>
      </w:r>
      <w:r w:rsidRPr="00D72514">
        <w:rPr>
          <w:i/>
          <w:sz w:val="18"/>
          <w:szCs w:val="18"/>
          <w:lang w:val="en-US"/>
        </w:rPr>
        <w:t xml:space="preserve"> </w:t>
      </w:r>
    </w:p>
  </w:footnote>
  <w:footnote w:id="11">
    <w:p w14:paraId="5CA57170" w14:textId="53280DB8" w:rsidR="00EA2BB7" w:rsidRPr="00182B86" w:rsidRDefault="00EA2BB7" w:rsidP="00182B86">
      <w:pPr>
        <w:pStyle w:val="AODocTxt"/>
        <w:spacing w:before="0"/>
        <w:rPr>
          <w:sz w:val="18"/>
          <w:szCs w:val="18"/>
          <w:lang w:val="en-US"/>
        </w:rPr>
      </w:pPr>
      <w:r w:rsidRPr="00182B86">
        <w:rPr>
          <w:rStyle w:val="FootnoteReference"/>
          <w:sz w:val="18"/>
          <w:szCs w:val="18"/>
        </w:rPr>
        <w:footnoteRef/>
      </w:r>
      <w:r w:rsidRPr="00182B86">
        <w:rPr>
          <w:sz w:val="18"/>
          <w:szCs w:val="18"/>
        </w:rPr>
        <w:t xml:space="preserve"> </w:t>
      </w:r>
      <w:r w:rsidRPr="00182B86">
        <w:rPr>
          <w:sz w:val="18"/>
          <w:szCs w:val="18"/>
          <w:lang w:val="en-US"/>
        </w:rPr>
        <w:t>Effective date may be a single date, but it may make sense to stagger implementation for different parts of the bill, including without limitation to accommodate differences in implementation with respect to repealed provisions that relate to expenditures (</w:t>
      </w:r>
      <w:r w:rsidRPr="00182B86">
        <w:rPr>
          <w:i/>
          <w:sz w:val="18"/>
          <w:szCs w:val="18"/>
          <w:lang w:val="en-US"/>
        </w:rPr>
        <w:t>i.e.</w:t>
      </w:r>
      <w:r w:rsidRPr="00182B86">
        <w:rPr>
          <w:sz w:val="18"/>
          <w:szCs w:val="18"/>
          <w:lang w:val="en-US"/>
        </w:rPr>
        <w:t>, whether repealed tax treatment is based on date of expenditure or date of relevant underlying activity)</w:t>
      </w:r>
      <w:r w:rsidR="00182B86" w:rsidRPr="00182B86">
        <w:rPr>
          <w:sz w:val="18"/>
          <w:szCs w:val="18"/>
          <w:lang w:val="en-US"/>
        </w:rPr>
        <w:t>.  Differences could also be incorporated with respect to effective date for existing projects versus prospective future projects (noting that there may be greater political resistance to changes that impact existing projects, the financial viability of which may be predicated on assumptions about ongoing tax treatment).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972"/>
    </w:tblGrid>
    <w:tr w:rsidR="0045533C" w:rsidRPr="00920631" w14:paraId="17257E0A" w14:textId="77777777" w:rsidTr="0045533C">
      <w:tc>
        <w:tcPr>
          <w:tcW w:w="5000" w:type="pct"/>
        </w:tcPr>
        <w:p w14:paraId="3DA5A7DC" w14:textId="2B60EC71" w:rsidR="0045533C" w:rsidRPr="00920631" w:rsidRDefault="00FF1421" w:rsidP="0045533C">
          <w:pPr>
            <w:pStyle w:val="AONormal8LBold"/>
          </w:pPr>
          <w:r>
            <w:t xml:space="preserve"> </w:t>
          </w:r>
        </w:p>
      </w:tc>
    </w:tr>
  </w:tbl>
  <w:p w14:paraId="1460F451" w14:textId="77777777" w:rsidR="0061772E" w:rsidRPr="00920631" w:rsidRDefault="00000000" w:rsidP="0061772E">
    <w:pPr>
      <w:pStyle w:val="AONormal8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9854"/>
    </w:tblGrid>
    <w:tr w:rsidR="005D5CB3" w14:paraId="7376CE7C" w14:textId="77777777" w:rsidTr="005D5CB3">
      <w:tc>
        <w:tcPr>
          <w:tcW w:w="9854" w:type="dxa"/>
        </w:tcPr>
        <w:p w14:paraId="7E67E987" w14:textId="2B0E5189" w:rsidR="005D5CB3" w:rsidRDefault="00FF1421" w:rsidP="005D5CB3">
          <w:pPr>
            <w:pStyle w:val="AONormal8LBold"/>
          </w:pPr>
          <w:r>
            <w:t xml:space="preserve"> </w:t>
          </w:r>
        </w:p>
      </w:tc>
    </w:tr>
  </w:tbl>
  <w:p w14:paraId="2FDC615C" w14:textId="77777777" w:rsidR="005D5CB3" w:rsidRDefault="005D5CB3" w:rsidP="005D5CB3">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09E7"/>
    <w:multiLevelType w:val="multilevel"/>
    <w:tmpl w:val="02827A94"/>
    <w:name w:val="AOApp"/>
    <w:lvl w:ilvl="0">
      <w:start w:val="1"/>
      <w:numFmt w:val="decimal"/>
      <w:lvlRestart w:val="0"/>
      <w:pStyle w:val="AOAppHead"/>
      <w:suff w:val="nothing"/>
      <w:lvlText w:val="Appendix %1"/>
      <w:lvlJc w:val="left"/>
      <w:pPr>
        <w:tabs>
          <w:tab w:val="num" w:pos="0"/>
        </w:tabs>
        <w:ind w:left="0" w:firstLine="0"/>
      </w:pPr>
      <w:rPr>
        <w:rFonts w:ascii="Times New Roman" w:hAnsi="Times New Roman"/>
        <w:b/>
        <w:caps/>
        <w:smallCaps w:val="0"/>
      </w:rPr>
    </w:lvl>
    <w:lvl w:ilvl="1">
      <w:start w:val="1"/>
      <w:numFmt w:val="decimal"/>
      <w:pStyle w:val="AOApp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10F37ADE"/>
    <w:multiLevelType w:val="multilevel"/>
    <w:tmpl w:val="C8BA0E82"/>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91B2F300"/>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7B340FAA"/>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4" w15:restartNumberingAfterBreak="0">
    <w:nsid w:val="391D542D"/>
    <w:multiLevelType w:val="multilevel"/>
    <w:tmpl w:val="CEA2CDB4"/>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5" w15:restartNumberingAfterBreak="0">
    <w:nsid w:val="3D0E7D39"/>
    <w:multiLevelType w:val="multilevel"/>
    <w:tmpl w:val="92402AD4"/>
    <w:name w:val="AOSch"/>
    <w:lvl w:ilvl="0">
      <w:start w:val="1"/>
      <w:numFmt w:val="decimal"/>
      <w:lvlRestart w:val="0"/>
      <w:pStyle w:val="AOSchHead"/>
      <w:suff w:val="nothing"/>
      <w:lvlText w:val="Exhibit %1"/>
      <w:lvlJc w:val="left"/>
      <w:pPr>
        <w:tabs>
          <w:tab w:val="num" w:pos="0"/>
        </w:tabs>
        <w:ind w:left="0" w:firstLine="0"/>
      </w:pPr>
      <w:rPr>
        <w:rFonts w:ascii="Times New Roman" w:hAnsi="Times New Roman"/>
        <w:b/>
        <w:caps/>
        <w:smallCaps w:val="0"/>
      </w:rPr>
    </w:lvl>
    <w:lvl w:ilvl="1">
      <w:start w:val="1"/>
      <w:numFmt w:val="decimal"/>
      <w:pStyle w:val="AOSch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6" w15:restartNumberingAfterBreak="0">
    <w:nsid w:val="3E29759A"/>
    <w:multiLevelType w:val="multilevel"/>
    <w:tmpl w:val="E092EC9E"/>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7" w15:restartNumberingAfterBreak="0">
    <w:nsid w:val="41F230E7"/>
    <w:multiLevelType w:val="singleLevel"/>
    <w:tmpl w:val="DC820D2A"/>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8" w15:restartNumberingAfterBreak="0">
    <w:nsid w:val="47B238E7"/>
    <w:multiLevelType w:val="multilevel"/>
    <w:tmpl w:val="7A9658F2"/>
    <w:name w:val="AOGen3"/>
    <w:lvl w:ilvl="0">
      <w:start w:val="1"/>
      <w:numFmt w:val="decimal"/>
      <w:lvlRestart w:val="0"/>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9" w15:restartNumberingAfterBreak="0">
    <w:nsid w:val="49C66851"/>
    <w:multiLevelType w:val="multilevel"/>
    <w:tmpl w:val="FE385F70"/>
    <w:name w:val="AOAnx"/>
    <w:lvl w:ilvl="0">
      <w:start w:val="1"/>
      <w:numFmt w:val="decimal"/>
      <w:lvlRestart w:val="0"/>
      <w:pStyle w:val="AOAnxHead"/>
      <w:suff w:val="nothing"/>
      <w:lvlText w:val="Annex %1"/>
      <w:lvlJc w:val="left"/>
      <w:pPr>
        <w:tabs>
          <w:tab w:val="num" w:pos="0"/>
        </w:tabs>
        <w:ind w:left="0" w:firstLine="0"/>
      </w:pPr>
      <w:rPr>
        <w:rFonts w:ascii="Times New Roman" w:hAnsi="Times New Roman"/>
        <w:b/>
        <w:caps/>
        <w:smallCaps w:val="0"/>
      </w:rPr>
    </w:lvl>
    <w:lvl w:ilvl="1">
      <w:start w:val="1"/>
      <w:numFmt w:val="decimal"/>
      <w:pStyle w:val="AOAnx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0" w15:restartNumberingAfterBreak="0">
    <w:nsid w:val="4CFE7B09"/>
    <w:multiLevelType w:val="multilevel"/>
    <w:tmpl w:val="FC4EE694"/>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1" w15:restartNumberingAfterBreak="0">
    <w:nsid w:val="4E4B4E3E"/>
    <w:multiLevelType w:val="multilevel"/>
    <w:tmpl w:val="5526F7E4"/>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2" w15:restartNumberingAfterBreak="0">
    <w:nsid w:val="511C70D7"/>
    <w:multiLevelType w:val="multilevel"/>
    <w:tmpl w:val="4E2EC262"/>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3" w15:restartNumberingAfterBreak="0">
    <w:nsid w:val="62830D10"/>
    <w:multiLevelType w:val="multilevel"/>
    <w:tmpl w:val="FB3E2BC8"/>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4" w15:restartNumberingAfterBreak="0">
    <w:nsid w:val="6AA227D0"/>
    <w:multiLevelType w:val="multilevel"/>
    <w:tmpl w:val="6172C5CA"/>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5" w15:restartNumberingAfterBreak="0">
    <w:nsid w:val="6F025FAA"/>
    <w:multiLevelType w:val="multilevel"/>
    <w:tmpl w:val="1870E8F0"/>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16" w15:restartNumberingAfterBreak="0">
    <w:nsid w:val="6F8D3D7A"/>
    <w:multiLevelType w:val="singleLevel"/>
    <w:tmpl w:val="C4E419E8"/>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7" w15:restartNumberingAfterBreak="0">
    <w:nsid w:val="761544F7"/>
    <w:multiLevelType w:val="multilevel"/>
    <w:tmpl w:val="4B682484"/>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608396739">
    <w:abstractNumId w:val="11"/>
  </w:num>
  <w:num w:numId="2" w16cid:durableId="1013412338">
    <w:abstractNumId w:val="10"/>
  </w:num>
  <w:num w:numId="3" w16cid:durableId="1158115211">
    <w:abstractNumId w:val="13"/>
  </w:num>
  <w:num w:numId="4" w16cid:durableId="1666515176">
    <w:abstractNumId w:val="17"/>
  </w:num>
  <w:num w:numId="5" w16cid:durableId="388043704">
    <w:abstractNumId w:val="6"/>
  </w:num>
  <w:num w:numId="6" w16cid:durableId="1801680841">
    <w:abstractNumId w:val="8"/>
  </w:num>
  <w:num w:numId="7" w16cid:durableId="1197964165">
    <w:abstractNumId w:val="15"/>
  </w:num>
  <w:num w:numId="8" w16cid:durableId="1396856858">
    <w:abstractNumId w:val="0"/>
  </w:num>
  <w:num w:numId="9" w16cid:durableId="1858235078">
    <w:abstractNumId w:val="9"/>
  </w:num>
  <w:num w:numId="10" w16cid:durableId="787117683">
    <w:abstractNumId w:val="5"/>
  </w:num>
  <w:num w:numId="11" w16cid:durableId="1439253217">
    <w:abstractNumId w:val="3"/>
  </w:num>
  <w:num w:numId="12" w16cid:durableId="1799371226">
    <w:abstractNumId w:val="2"/>
  </w:num>
  <w:num w:numId="13" w16cid:durableId="385571246">
    <w:abstractNumId w:val="16"/>
  </w:num>
  <w:num w:numId="14" w16cid:durableId="158891771">
    <w:abstractNumId w:val="7"/>
  </w:num>
  <w:num w:numId="15" w16cid:durableId="27335777">
    <w:abstractNumId w:val="12"/>
  </w:num>
  <w:num w:numId="16" w16cid:durableId="1361468655">
    <w:abstractNumId w:val="4"/>
  </w:num>
  <w:num w:numId="17" w16cid:durableId="1171876140">
    <w:abstractNumId w:val="14"/>
  </w:num>
  <w:num w:numId="18" w16cid:durableId="1044983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4A0"/>
    <w:rsid w:val="0002240F"/>
    <w:rsid w:val="00035DF9"/>
    <w:rsid w:val="000520A8"/>
    <w:rsid w:val="00083181"/>
    <w:rsid w:val="000A01CB"/>
    <w:rsid w:val="000D0702"/>
    <w:rsid w:val="001466A1"/>
    <w:rsid w:val="00173DB5"/>
    <w:rsid w:val="00182B86"/>
    <w:rsid w:val="001837F3"/>
    <w:rsid w:val="001A0C5E"/>
    <w:rsid w:val="001A6DB8"/>
    <w:rsid w:val="001C2C60"/>
    <w:rsid w:val="001C2FD9"/>
    <w:rsid w:val="001E3992"/>
    <w:rsid w:val="001E7139"/>
    <w:rsid w:val="001E79DF"/>
    <w:rsid w:val="001F28AE"/>
    <w:rsid w:val="00207F8C"/>
    <w:rsid w:val="00214054"/>
    <w:rsid w:val="002203F1"/>
    <w:rsid w:val="00223E2B"/>
    <w:rsid w:val="00244F4C"/>
    <w:rsid w:val="00251D49"/>
    <w:rsid w:val="00256680"/>
    <w:rsid w:val="00272FC4"/>
    <w:rsid w:val="002A01D2"/>
    <w:rsid w:val="002A7DC0"/>
    <w:rsid w:val="002C651D"/>
    <w:rsid w:val="002D56C4"/>
    <w:rsid w:val="002E0DDE"/>
    <w:rsid w:val="00321FEE"/>
    <w:rsid w:val="00346095"/>
    <w:rsid w:val="00375A6D"/>
    <w:rsid w:val="003813A3"/>
    <w:rsid w:val="003A410F"/>
    <w:rsid w:val="003B2903"/>
    <w:rsid w:val="003B64A0"/>
    <w:rsid w:val="003C563A"/>
    <w:rsid w:val="003D650B"/>
    <w:rsid w:val="003E6AA2"/>
    <w:rsid w:val="0042257D"/>
    <w:rsid w:val="004329F3"/>
    <w:rsid w:val="00432A6C"/>
    <w:rsid w:val="00440C96"/>
    <w:rsid w:val="00444071"/>
    <w:rsid w:val="004471EB"/>
    <w:rsid w:val="0045533C"/>
    <w:rsid w:val="00463113"/>
    <w:rsid w:val="0047162F"/>
    <w:rsid w:val="004A1E45"/>
    <w:rsid w:val="004A6489"/>
    <w:rsid w:val="004A712F"/>
    <w:rsid w:val="004B39A3"/>
    <w:rsid w:val="004C587E"/>
    <w:rsid w:val="004F7F2F"/>
    <w:rsid w:val="005268A9"/>
    <w:rsid w:val="00535AF9"/>
    <w:rsid w:val="0055442E"/>
    <w:rsid w:val="005C595A"/>
    <w:rsid w:val="005D16AE"/>
    <w:rsid w:val="005D5CB3"/>
    <w:rsid w:val="005E4590"/>
    <w:rsid w:val="005E5E8C"/>
    <w:rsid w:val="005F2B9F"/>
    <w:rsid w:val="00624BE1"/>
    <w:rsid w:val="00630AD0"/>
    <w:rsid w:val="00645F1D"/>
    <w:rsid w:val="00653B46"/>
    <w:rsid w:val="0068599B"/>
    <w:rsid w:val="006A5AA0"/>
    <w:rsid w:val="006C6D54"/>
    <w:rsid w:val="006D6147"/>
    <w:rsid w:val="006F4DD9"/>
    <w:rsid w:val="00730573"/>
    <w:rsid w:val="0074526D"/>
    <w:rsid w:val="007654DE"/>
    <w:rsid w:val="00775516"/>
    <w:rsid w:val="007A43D5"/>
    <w:rsid w:val="007C2E3C"/>
    <w:rsid w:val="007C63AF"/>
    <w:rsid w:val="007D75EC"/>
    <w:rsid w:val="007E4258"/>
    <w:rsid w:val="007F242F"/>
    <w:rsid w:val="00822A1E"/>
    <w:rsid w:val="00854718"/>
    <w:rsid w:val="00857F4A"/>
    <w:rsid w:val="008A3A91"/>
    <w:rsid w:val="008B515F"/>
    <w:rsid w:val="008C14D4"/>
    <w:rsid w:val="008C5FF6"/>
    <w:rsid w:val="008C7555"/>
    <w:rsid w:val="008D6459"/>
    <w:rsid w:val="008D7F39"/>
    <w:rsid w:val="008E0A09"/>
    <w:rsid w:val="008F2018"/>
    <w:rsid w:val="008F3E42"/>
    <w:rsid w:val="008F68D8"/>
    <w:rsid w:val="00920631"/>
    <w:rsid w:val="00931E2A"/>
    <w:rsid w:val="00960F52"/>
    <w:rsid w:val="009927C6"/>
    <w:rsid w:val="009C600F"/>
    <w:rsid w:val="009D20EB"/>
    <w:rsid w:val="009E0C49"/>
    <w:rsid w:val="00A17997"/>
    <w:rsid w:val="00A2582B"/>
    <w:rsid w:val="00A279B2"/>
    <w:rsid w:val="00A31B88"/>
    <w:rsid w:val="00A339FC"/>
    <w:rsid w:val="00A522AB"/>
    <w:rsid w:val="00A76A73"/>
    <w:rsid w:val="00AF268E"/>
    <w:rsid w:val="00B1321E"/>
    <w:rsid w:val="00B15851"/>
    <w:rsid w:val="00B267C9"/>
    <w:rsid w:val="00B54FF6"/>
    <w:rsid w:val="00B55A62"/>
    <w:rsid w:val="00B626C3"/>
    <w:rsid w:val="00B6374F"/>
    <w:rsid w:val="00B75C0E"/>
    <w:rsid w:val="00BA6B05"/>
    <w:rsid w:val="00BB07C3"/>
    <w:rsid w:val="00BB7754"/>
    <w:rsid w:val="00BC0964"/>
    <w:rsid w:val="00BC55E9"/>
    <w:rsid w:val="00BD052E"/>
    <w:rsid w:val="00BE2502"/>
    <w:rsid w:val="00BF1C21"/>
    <w:rsid w:val="00BF3A6E"/>
    <w:rsid w:val="00BF4803"/>
    <w:rsid w:val="00C2524B"/>
    <w:rsid w:val="00C27C6D"/>
    <w:rsid w:val="00C46506"/>
    <w:rsid w:val="00C6392B"/>
    <w:rsid w:val="00CA2C1F"/>
    <w:rsid w:val="00CA6867"/>
    <w:rsid w:val="00CC19DE"/>
    <w:rsid w:val="00D03DDB"/>
    <w:rsid w:val="00D2537D"/>
    <w:rsid w:val="00D25726"/>
    <w:rsid w:val="00D60A12"/>
    <w:rsid w:val="00D72514"/>
    <w:rsid w:val="00D836DC"/>
    <w:rsid w:val="00D8512B"/>
    <w:rsid w:val="00E05622"/>
    <w:rsid w:val="00E17B23"/>
    <w:rsid w:val="00E211D5"/>
    <w:rsid w:val="00E3048B"/>
    <w:rsid w:val="00E30C20"/>
    <w:rsid w:val="00E568CF"/>
    <w:rsid w:val="00E72D84"/>
    <w:rsid w:val="00E75FC6"/>
    <w:rsid w:val="00E81B74"/>
    <w:rsid w:val="00E904EB"/>
    <w:rsid w:val="00E9172D"/>
    <w:rsid w:val="00EA2BB7"/>
    <w:rsid w:val="00EA5A2B"/>
    <w:rsid w:val="00EB21A5"/>
    <w:rsid w:val="00EB5035"/>
    <w:rsid w:val="00EC131A"/>
    <w:rsid w:val="00EC24D5"/>
    <w:rsid w:val="00ED1E76"/>
    <w:rsid w:val="00ED5411"/>
    <w:rsid w:val="00ED7D0B"/>
    <w:rsid w:val="00EF1683"/>
    <w:rsid w:val="00EF18BF"/>
    <w:rsid w:val="00EF2FEF"/>
    <w:rsid w:val="00F01CD0"/>
    <w:rsid w:val="00F12982"/>
    <w:rsid w:val="00F13FAE"/>
    <w:rsid w:val="00F53B14"/>
    <w:rsid w:val="00F553A4"/>
    <w:rsid w:val="00F647A7"/>
    <w:rsid w:val="00F70721"/>
    <w:rsid w:val="00F8684C"/>
    <w:rsid w:val="00F93ECA"/>
    <w:rsid w:val="00FA696C"/>
    <w:rsid w:val="00FA7EC1"/>
    <w:rsid w:val="00FD4C5E"/>
    <w:rsid w:val="00FE1135"/>
    <w:rsid w:val="00FE31DC"/>
    <w:rsid w:val="00FF1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5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AONormal"/>
    <w:qFormat/>
    <w:rsid w:val="00CA6867"/>
    <w:pPr>
      <w:spacing w:line="240" w:lineRule="auto"/>
    </w:pPr>
    <w:rPr>
      <w:rFonts w:cs="Times New Roman"/>
    </w:rPr>
  </w:style>
  <w:style w:type="paragraph" w:styleId="Heading1">
    <w:name w:val="heading 1"/>
    <w:basedOn w:val="AOHeadings"/>
    <w:next w:val="AODocTxt"/>
    <w:link w:val="Heading1Char"/>
    <w:uiPriority w:val="9"/>
    <w:qFormat/>
    <w:rsid w:val="001E7139"/>
    <w:pPr>
      <w:keepNext/>
      <w:outlineLvl w:val="0"/>
    </w:pPr>
    <w:rPr>
      <w:rFonts w:eastAsia="Times New Roman"/>
      <w:b/>
      <w:bCs/>
      <w:caps/>
      <w:szCs w:val="28"/>
    </w:rPr>
  </w:style>
  <w:style w:type="paragraph" w:styleId="Heading2">
    <w:name w:val="heading 2"/>
    <w:basedOn w:val="AOHeadings"/>
    <w:next w:val="AODocTxt"/>
    <w:link w:val="Heading2Char"/>
    <w:uiPriority w:val="9"/>
    <w:semiHidden/>
    <w:unhideWhenUsed/>
    <w:qFormat/>
    <w:rsid w:val="001E7139"/>
    <w:pPr>
      <w:keepNext/>
      <w:outlineLvl w:val="1"/>
    </w:pPr>
    <w:rPr>
      <w:rFonts w:eastAsia="Times New Roman"/>
      <w:b/>
      <w:bCs/>
      <w:szCs w:val="26"/>
    </w:rPr>
  </w:style>
  <w:style w:type="paragraph" w:styleId="Heading3">
    <w:name w:val="heading 3"/>
    <w:basedOn w:val="AOHeadings"/>
    <w:next w:val="AODocTxt"/>
    <w:link w:val="Heading3Char"/>
    <w:uiPriority w:val="9"/>
    <w:semiHidden/>
    <w:unhideWhenUsed/>
    <w:qFormat/>
    <w:rsid w:val="001E7139"/>
    <w:pPr>
      <w:outlineLvl w:val="2"/>
    </w:pPr>
    <w:rPr>
      <w:rFonts w:eastAsia="Times New Roman"/>
      <w:bCs/>
    </w:rPr>
  </w:style>
  <w:style w:type="paragraph" w:styleId="Heading4">
    <w:name w:val="heading 4"/>
    <w:basedOn w:val="AOHeadings"/>
    <w:next w:val="AODocTxt"/>
    <w:link w:val="Heading4Char"/>
    <w:uiPriority w:val="9"/>
    <w:semiHidden/>
    <w:unhideWhenUsed/>
    <w:qFormat/>
    <w:rsid w:val="001E7139"/>
    <w:pPr>
      <w:outlineLvl w:val="3"/>
    </w:pPr>
    <w:rPr>
      <w:rFonts w:eastAsia="Times New Roman"/>
      <w:bCs/>
      <w:iCs/>
    </w:rPr>
  </w:style>
  <w:style w:type="paragraph" w:styleId="Heading5">
    <w:name w:val="heading 5"/>
    <w:basedOn w:val="AOHeadings"/>
    <w:next w:val="AODocTxt"/>
    <w:link w:val="Heading5Char"/>
    <w:uiPriority w:val="9"/>
    <w:semiHidden/>
    <w:unhideWhenUsed/>
    <w:qFormat/>
    <w:rsid w:val="001E7139"/>
    <w:pPr>
      <w:outlineLvl w:val="4"/>
    </w:pPr>
    <w:rPr>
      <w:rFonts w:eastAsia="Times New Roman"/>
    </w:rPr>
  </w:style>
  <w:style w:type="paragraph" w:styleId="Heading6">
    <w:name w:val="heading 6"/>
    <w:basedOn w:val="AOHeadings"/>
    <w:next w:val="AODocTxt"/>
    <w:link w:val="Heading6Char"/>
    <w:uiPriority w:val="9"/>
    <w:semiHidden/>
    <w:unhideWhenUsed/>
    <w:qFormat/>
    <w:rsid w:val="001E7139"/>
    <w:pPr>
      <w:outlineLvl w:val="5"/>
    </w:pPr>
    <w:rPr>
      <w:rFonts w:eastAsia="Times New Roman"/>
      <w:iCs/>
    </w:rPr>
  </w:style>
  <w:style w:type="paragraph" w:styleId="Heading7">
    <w:name w:val="heading 7"/>
    <w:basedOn w:val="AOHeadings"/>
    <w:next w:val="AODocTxt"/>
    <w:link w:val="Heading7Char"/>
    <w:uiPriority w:val="9"/>
    <w:semiHidden/>
    <w:unhideWhenUsed/>
    <w:qFormat/>
    <w:rsid w:val="001E7139"/>
    <w:pPr>
      <w:outlineLvl w:val="6"/>
    </w:pPr>
    <w:rPr>
      <w:rFonts w:eastAsia="Times New Roman"/>
      <w:iCs/>
    </w:rPr>
  </w:style>
  <w:style w:type="paragraph" w:styleId="Heading8">
    <w:name w:val="heading 8"/>
    <w:basedOn w:val="AOHeadings"/>
    <w:next w:val="AODocTxt"/>
    <w:link w:val="Heading8Char"/>
    <w:uiPriority w:val="9"/>
    <w:semiHidden/>
    <w:unhideWhenUsed/>
    <w:qFormat/>
    <w:rsid w:val="001E7139"/>
    <w:pPr>
      <w:outlineLvl w:val="7"/>
    </w:pPr>
    <w:rPr>
      <w:rFonts w:eastAsia="Times New Roman"/>
      <w:szCs w:val="20"/>
    </w:rPr>
  </w:style>
  <w:style w:type="paragraph" w:styleId="Heading9">
    <w:name w:val="heading 9"/>
    <w:basedOn w:val="AOHeadings"/>
    <w:next w:val="AODocTxt"/>
    <w:link w:val="Heading9Char"/>
    <w:uiPriority w:val="9"/>
    <w:semiHidden/>
    <w:unhideWhenUsed/>
    <w:qFormat/>
    <w:rsid w:val="001E7139"/>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rsid w:val="001E7139"/>
    <w:rPr>
      <w:rFonts w:cs="Times New Roman"/>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rsid w:val="001E7139"/>
  </w:style>
  <w:style w:type="paragraph" w:customStyle="1" w:styleId="AODocTxtL1">
    <w:name w:val="AODocTxtL1"/>
    <w:basedOn w:val="AODocTxt"/>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tabs>
        <w:tab w:val="clear" w:pos="720"/>
      </w:tabs>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rsid w:val="001E7139"/>
    <w:pPr>
      <w:keepNext/>
      <w:numPr>
        <w:numId w:val="1"/>
      </w:numPr>
      <w:outlineLvl w:val="0"/>
    </w:pPr>
    <w:rPr>
      <w:b/>
      <w:caps/>
      <w:kern w:val="28"/>
    </w:rPr>
  </w:style>
  <w:style w:type="paragraph" w:customStyle="1" w:styleId="AOHead2">
    <w:name w:val="AOHead2"/>
    <w:basedOn w:val="AOHeadings"/>
    <w:next w:val="AODocTxtL1"/>
    <w:rsid w:val="001E7139"/>
    <w:pPr>
      <w:keepNext/>
      <w:numPr>
        <w:ilvl w:val="1"/>
        <w:numId w:val="1"/>
      </w:numPr>
      <w:outlineLvl w:val="1"/>
    </w:pPr>
    <w:rPr>
      <w:b/>
    </w:rPr>
  </w:style>
  <w:style w:type="paragraph" w:customStyle="1" w:styleId="AOHead3">
    <w:name w:val="AOHead3"/>
    <w:basedOn w:val="AOHeadings"/>
    <w:next w:val="AODocTxtL2"/>
    <w:rsid w:val="001E7139"/>
    <w:pPr>
      <w:numPr>
        <w:ilvl w:val="2"/>
        <w:numId w:val="1"/>
      </w:numPr>
      <w:outlineLvl w:val="2"/>
    </w:pPr>
  </w:style>
  <w:style w:type="paragraph" w:customStyle="1" w:styleId="AOHead4">
    <w:name w:val="AOHead4"/>
    <w:basedOn w:val="AOHeadings"/>
    <w:next w:val="AODocTxtL3"/>
    <w:rsid w:val="001E7139"/>
    <w:pPr>
      <w:numPr>
        <w:ilvl w:val="3"/>
        <w:numId w:val="1"/>
      </w:numPr>
      <w:outlineLvl w:val="3"/>
    </w:pPr>
  </w:style>
  <w:style w:type="paragraph" w:customStyle="1" w:styleId="AOHead5">
    <w:name w:val="AOHead5"/>
    <w:basedOn w:val="AOHeadings"/>
    <w:next w:val="AODocTxtL4"/>
    <w:rsid w:val="001E7139"/>
    <w:pPr>
      <w:numPr>
        <w:ilvl w:val="4"/>
        <w:numId w:val="1"/>
      </w:numPr>
      <w:outlineLvl w:val="4"/>
    </w:pPr>
  </w:style>
  <w:style w:type="paragraph" w:customStyle="1" w:styleId="AOHead6">
    <w:name w:val="AOHead6"/>
    <w:basedOn w:val="AOHeadings"/>
    <w:next w:val="AODocTxtL5"/>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rsid w:val="001E7139"/>
    <w:pPr>
      <w:tabs>
        <w:tab w:val="clear" w:pos="1440"/>
      </w:tabs>
      <w:ind w:left="720"/>
    </w:pPr>
  </w:style>
  <w:style w:type="paragraph" w:customStyle="1" w:styleId="AOAltHead4">
    <w:name w:val="AOAltHead4"/>
    <w:basedOn w:val="AOHead4"/>
    <w:next w:val="AODocTxtL2"/>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rsid w:val="001E7139"/>
    <w:pPr>
      <w:keepNext/>
      <w:outlineLvl w:val="0"/>
    </w:pPr>
    <w:rPr>
      <w:b/>
      <w:caps/>
      <w:kern w:val="28"/>
    </w:rPr>
  </w:style>
  <w:style w:type="paragraph" w:customStyle="1" w:styleId="AOHeading2">
    <w:name w:val="AOHeading2"/>
    <w:basedOn w:val="AOHeadings"/>
    <w:next w:val="AODocTxt"/>
    <w:rsid w:val="001E7139"/>
    <w:pPr>
      <w:keepNext/>
      <w:outlineLvl w:val="1"/>
    </w:pPr>
    <w:rPr>
      <w:b/>
    </w:rPr>
  </w:style>
  <w:style w:type="paragraph" w:customStyle="1" w:styleId="AOHeading3">
    <w:name w:val="AOHeading3"/>
    <w:basedOn w:val="AOHeadings"/>
    <w:next w:val="AODocTxtL1"/>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eader">
    <w:name w:val="header"/>
    <w:basedOn w:val="Normal"/>
    <w:link w:val="HeaderChar"/>
    <w:uiPriority w:val="99"/>
    <w:unhideWhenUsed/>
    <w:rsid w:val="001E7139"/>
    <w:pPr>
      <w:tabs>
        <w:tab w:val="center" w:pos="4150"/>
        <w:tab w:val="right" w:pos="8306"/>
      </w:tabs>
    </w:pPr>
  </w:style>
  <w:style w:type="character" w:customStyle="1" w:styleId="HeaderChar">
    <w:name w:val="Header Char"/>
    <w:basedOn w:val="DefaultParagraphFont"/>
    <w:link w:val="Header"/>
    <w:uiPriority w:val="99"/>
    <w:rsid w:val="001E7139"/>
    <w:rPr>
      <w:rFonts w:cs="Times New Roman"/>
    </w:rPr>
  </w:style>
  <w:style w:type="paragraph" w:styleId="Footer">
    <w:name w:val="footer"/>
    <w:basedOn w:val="Normal"/>
    <w:link w:val="FooterChar"/>
    <w:uiPriority w:val="99"/>
    <w:unhideWhenUsed/>
    <w:rsid w:val="001E7139"/>
    <w:pPr>
      <w:tabs>
        <w:tab w:val="center" w:pos="4150"/>
        <w:tab w:val="right" w:pos="8306"/>
      </w:tabs>
    </w:pPr>
  </w:style>
  <w:style w:type="character" w:customStyle="1" w:styleId="FooterChar">
    <w:name w:val="Footer Char"/>
    <w:basedOn w:val="DefaultParagraphFont"/>
    <w:link w:val="Footer"/>
    <w:uiPriority w:val="99"/>
    <w:rsid w:val="001E7139"/>
    <w:rPr>
      <w:rFonts w:cs="Times New Roman"/>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rsid w:val="001E7139"/>
    <w:pPr>
      <w:numPr>
        <w:numId w:val="7"/>
      </w:numPr>
      <w:tabs>
        <w:tab w:val="clear" w:pos="720"/>
      </w:tabs>
      <w:outlineLvl w:val="5"/>
    </w:pPr>
  </w:style>
  <w:style w:type="paragraph" w:customStyle="1" w:styleId="AODefPara">
    <w:name w:val="AODefPara"/>
    <w:basedOn w:val="AODefHead"/>
    <w:rsid w:val="001E7139"/>
    <w:pPr>
      <w:numPr>
        <w:ilvl w:val="1"/>
      </w:numPr>
      <w:tabs>
        <w:tab w:val="clear" w:pos="720"/>
      </w:tabs>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TOC1"/>
    <w:rsid w:val="001E7139"/>
    <w:pPr>
      <w:tabs>
        <w:tab w:val="right" w:leader="dot" w:pos="9638"/>
      </w:tabs>
      <w:jc w:val="both"/>
    </w:pPr>
  </w:style>
  <w:style w:type="paragraph" w:styleId="TOC1">
    <w:name w:val="toc 1"/>
    <w:basedOn w:val="AOTOCs"/>
    <w:next w:val="AONormal"/>
    <w:autoRedefine/>
    <w:uiPriority w:val="39"/>
    <w:semiHidden/>
    <w:unhideWhenUsed/>
    <w:rsid w:val="001E713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TOC2">
    <w:name w:val="toc 2"/>
    <w:basedOn w:val="AOTOCs"/>
    <w:next w:val="AONormal"/>
    <w:autoRedefine/>
    <w:uiPriority w:val="39"/>
    <w:semiHidden/>
    <w:unhideWhenUsed/>
    <w:rsid w:val="001E7139"/>
    <w:pPr>
      <w:tabs>
        <w:tab w:val="left" w:pos="1797"/>
      </w:tabs>
      <w:ind w:left="1797" w:right="720" w:hanging="1077"/>
    </w:pPr>
  </w:style>
  <w:style w:type="paragraph" w:styleId="TOC3">
    <w:name w:val="toc 3"/>
    <w:basedOn w:val="AOTOCs"/>
    <w:next w:val="AONormal"/>
    <w:autoRedefine/>
    <w:uiPriority w:val="39"/>
    <w:semiHidden/>
    <w:unhideWhenUsed/>
    <w:rsid w:val="001E7139"/>
    <w:pPr>
      <w:numPr>
        <w:numId w:val="15"/>
      </w:numPr>
      <w:ind w:right="720"/>
    </w:pPr>
  </w:style>
  <w:style w:type="paragraph" w:styleId="TOC4">
    <w:name w:val="toc 4"/>
    <w:basedOn w:val="AOTOCs"/>
    <w:next w:val="AONormal"/>
    <w:autoRedefine/>
    <w:uiPriority w:val="39"/>
    <w:semiHidden/>
    <w:unhideWhenUsed/>
    <w:rsid w:val="001E7139"/>
    <w:pPr>
      <w:numPr>
        <w:ilvl w:val="1"/>
        <w:numId w:val="15"/>
      </w:numPr>
      <w:tabs>
        <w:tab w:val="left" w:pos="1797"/>
      </w:tabs>
      <w:ind w:right="720"/>
    </w:pPr>
  </w:style>
  <w:style w:type="paragraph" w:styleId="TOC5">
    <w:name w:val="toc 5"/>
    <w:basedOn w:val="AOTOCs"/>
    <w:next w:val="AONormal"/>
    <w:autoRedefine/>
    <w:uiPriority w:val="39"/>
    <w:semiHidden/>
    <w:unhideWhenUsed/>
    <w:rsid w:val="001E7139"/>
    <w:pPr>
      <w:spacing w:before="240"/>
    </w:pPr>
  </w:style>
  <w:style w:type="paragraph" w:styleId="TOC6">
    <w:name w:val="toc 6"/>
    <w:basedOn w:val="AOTOCs"/>
    <w:next w:val="AONormal"/>
    <w:autoRedefine/>
    <w:uiPriority w:val="39"/>
    <w:semiHidden/>
    <w:unhideWhenUsed/>
    <w:rsid w:val="001E7139"/>
    <w:pPr>
      <w:numPr>
        <w:numId w:val="16"/>
      </w:numPr>
      <w:ind w:right="720"/>
    </w:pPr>
  </w:style>
  <w:style w:type="paragraph" w:styleId="TOC7">
    <w:name w:val="toc 7"/>
    <w:basedOn w:val="AOTOCs"/>
    <w:next w:val="AONormal"/>
    <w:autoRedefine/>
    <w:uiPriority w:val="39"/>
    <w:semiHidden/>
    <w:unhideWhenUsed/>
    <w:rsid w:val="001E7139"/>
    <w:pPr>
      <w:numPr>
        <w:ilvl w:val="1"/>
        <w:numId w:val="16"/>
      </w:numPr>
      <w:tabs>
        <w:tab w:val="left" w:pos="1797"/>
      </w:tabs>
      <w:ind w:right="720"/>
    </w:pPr>
  </w:style>
  <w:style w:type="paragraph" w:styleId="TOC8">
    <w:name w:val="toc 8"/>
    <w:basedOn w:val="AOTOCs"/>
    <w:next w:val="AONormal"/>
    <w:autoRedefine/>
    <w:uiPriority w:val="39"/>
    <w:semiHidden/>
    <w:unhideWhenUsed/>
    <w:rsid w:val="001E7139"/>
    <w:pPr>
      <w:numPr>
        <w:numId w:val="17"/>
      </w:numPr>
      <w:ind w:right="720"/>
    </w:pPr>
  </w:style>
  <w:style w:type="paragraph" w:styleId="TOC9">
    <w:name w:val="toc 9"/>
    <w:basedOn w:val="AOTOCs"/>
    <w:next w:val="AONormal"/>
    <w:autoRedefine/>
    <w:uiPriority w:val="39"/>
    <w:semiHidden/>
    <w:unhideWhenUsed/>
    <w:rsid w:val="001E7139"/>
    <w:pPr>
      <w:numPr>
        <w:ilvl w:val="1"/>
        <w:numId w:val="17"/>
      </w:numPr>
      <w:tabs>
        <w:tab w:val="left" w:pos="1797"/>
      </w:tabs>
      <w:ind w:right="720"/>
    </w:pPr>
  </w:style>
  <w:style w:type="paragraph" w:styleId="FootnoteText">
    <w:name w:val="footnote text"/>
    <w:basedOn w:val="AONormal"/>
    <w:link w:val="FootnoteTextChar"/>
    <w:uiPriority w:val="99"/>
    <w:semiHidden/>
    <w:unhideWhenUsed/>
    <w:rsid w:val="001E7139"/>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semiHidden/>
    <w:rsid w:val="001E7139"/>
    <w:rPr>
      <w:rFonts w:cs="Times New Roman"/>
      <w:sz w:val="16"/>
      <w:szCs w:val="20"/>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CommentText">
    <w:name w:val="annotation text"/>
    <w:basedOn w:val="AONormal"/>
    <w:link w:val="CommentTextChar"/>
    <w:uiPriority w:val="99"/>
    <w:unhideWhenUsed/>
    <w:rsid w:val="001E7139"/>
    <w:pPr>
      <w:spacing w:line="240" w:lineRule="auto"/>
    </w:pPr>
    <w:rPr>
      <w:sz w:val="16"/>
      <w:szCs w:val="20"/>
    </w:rPr>
  </w:style>
  <w:style w:type="character" w:customStyle="1" w:styleId="CommentTextChar">
    <w:name w:val="Comment Text Char"/>
    <w:basedOn w:val="DefaultParagraphFont"/>
    <w:link w:val="CommentText"/>
    <w:uiPriority w:val="99"/>
    <w:rsid w:val="001E7139"/>
    <w:rPr>
      <w:rFonts w:cs="Times New Roman"/>
      <w:sz w:val="16"/>
      <w:szCs w:val="20"/>
    </w:rPr>
  </w:style>
  <w:style w:type="paragraph" w:styleId="EndnoteText">
    <w:name w:val="endnote text"/>
    <w:basedOn w:val="AONormal"/>
    <w:link w:val="EndnoteTextChar"/>
    <w:uiPriority w:val="99"/>
    <w:semiHidden/>
    <w:unhideWhenUsed/>
    <w:rsid w:val="001E7139"/>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1E7139"/>
    <w:rPr>
      <w:rFonts w:cs="Times New Roman"/>
      <w:sz w:val="16"/>
      <w:szCs w:val="20"/>
    </w:rPr>
  </w:style>
  <w:style w:type="character" w:customStyle="1" w:styleId="Heading1Char">
    <w:name w:val="Heading 1 Char"/>
    <w:basedOn w:val="DefaultParagraphFont"/>
    <w:link w:val="Heading1"/>
    <w:uiPriority w:val="9"/>
    <w:rsid w:val="001E7139"/>
    <w:rPr>
      <w:rFonts w:eastAsia="Times New Roman" w:cs="Times New Roman"/>
      <w:b/>
      <w:bCs/>
      <w:caps/>
      <w:szCs w:val="28"/>
    </w:rPr>
  </w:style>
  <w:style w:type="character" w:customStyle="1" w:styleId="Heading2Char">
    <w:name w:val="Heading 2 Char"/>
    <w:basedOn w:val="DefaultParagraphFont"/>
    <w:link w:val="Heading2"/>
    <w:uiPriority w:val="9"/>
    <w:semiHidden/>
    <w:rsid w:val="001E7139"/>
    <w:rPr>
      <w:rFonts w:eastAsia="Times New Roman" w:cs="Times New Roman"/>
      <w:b/>
      <w:bCs/>
      <w:szCs w:val="26"/>
    </w:rPr>
  </w:style>
  <w:style w:type="character" w:customStyle="1" w:styleId="Heading3Char">
    <w:name w:val="Heading 3 Char"/>
    <w:basedOn w:val="DefaultParagraphFont"/>
    <w:link w:val="Heading3"/>
    <w:uiPriority w:val="9"/>
    <w:semiHidden/>
    <w:rsid w:val="001E7139"/>
    <w:rPr>
      <w:rFonts w:eastAsia="Times New Roman" w:cs="Times New Roman"/>
      <w:bCs/>
    </w:rPr>
  </w:style>
  <w:style w:type="character" w:customStyle="1" w:styleId="Heading4Char">
    <w:name w:val="Heading 4 Char"/>
    <w:basedOn w:val="DefaultParagraphFont"/>
    <w:link w:val="Heading4"/>
    <w:uiPriority w:val="9"/>
    <w:semiHidden/>
    <w:rsid w:val="001E7139"/>
    <w:rPr>
      <w:rFonts w:eastAsia="Times New Roman" w:cs="Times New Roman"/>
      <w:bCs/>
      <w:iCs/>
    </w:rPr>
  </w:style>
  <w:style w:type="character" w:customStyle="1" w:styleId="Heading5Char">
    <w:name w:val="Heading 5 Char"/>
    <w:basedOn w:val="DefaultParagraphFont"/>
    <w:link w:val="Heading5"/>
    <w:uiPriority w:val="9"/>
    <w:semiHidden/>
    <w:rsid w:val="001E7139"/>
    <w:rPr>
      <w:rFonts w:eastAsia="Times New Roman" w:cs="Times New Roman"/>
    </w:rPr>
  </w:style>
  <w:style w:type="character" w:customStyle="1" w:styleId="Heading6Char">
    <w:name w:val="Heading 6 Char"/>
    <w:basedOn w:val="DefaultParagraphFont"/>
    <w:link w:val="Heading6"/>
    <w:uiPriority w:val="9"/>
    <w:semiHidden/>
    <w:rsid w:val="001E7139"/>
    <w:rPr>
      <w:rFonts w:eastAsia="Times New Roman" w:cs="Times New Roman"/>
      <w:iCs/>
    </w:rPr>
  </w:style>
  <w:style w:type="character" w:customStyle="1" w:styleId="Heading7Char">
    <w:name w:val="Heading 7 Char"/>
    <w:basedOn w:val="DefaultParagraphFont"/>
    <w:link w:val="Heading7"/>
    <w:uiPriority w:val="9"/>
    <w:semiHidden/>
    <w:rsid w:val="001E7139"/>
    <w:rPr>
      <w:rFonts w:eastAsia="Times New Roman" w:cs="Times New Roman"/>
      <w:iCs/>
    </w:rPr>
  </w:style>
  <w:style w:type="character" w:customStyle="1" w:styleId="Heading8Char">
    <w:name w:val="Heading 8 Char"/>
    <w:basedOn w:val="DefaultParagraphFont"/>
    <w:link w:val="Heading8"/>
    <w:uiPriority w:val="9"/>
    <w:semiHidden/>
    <w:rsid w:val="001E7139"/>
    <w:rPr>
      <w:rFonts w:eastAsia="Times New Roman" w:cs="Times New Roman"/>
      <w:szCs w:val="20"/>
    </w:rPr>
  </w:style>
  <w:style w:type="character" w:customStyle="1" w:styleId="Heading9Char">
    <w:name w:val="Heading 9 Char"/>
    <w:basedOn w:val="DefaultParagraphFont"/>
    <w:link w:val="Heading9"/>
    <w:uiPriority w:val="9"/>
    <w:semiHidden/>
    <w:rsid w:val="001E7139"/>
    <w:rPr>
      <w:rFonts w:eastAsia="Times New Roman" w:cs="Times New Roman"/>
      <w:iCs/>
      <w:szCs w:val="20"/>
    </w:rPr>
  </w:style>
  <w:style w:type="paragraph" w:styleId="TOAHeading">
    <w:name w:val="toa heading"/>
    <w:basedOn w:val="AONormal"/>
    <w:next w:val="TableofAuthorities"/>
    <w:uiPriority w:val="99"/>
    <w:semiHidden/>
    <w:unhideWhenUsed/>
    <w:rsid w:val="001E7139"/>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unhideWhenUsed/>
    <w:rsid w:val="001E7139"/>
    <w:pPr>
      <w:tabs>
        <w:tab w:val="right" w:leader="dot" w:pos="9490"/>
      </w:tabs>
      <w:spacing w:before="240" w:line="240" w:lineRule="auto"/>
      <w:ind w:left="720" w:hanging="720"/>
    </w:pPr>
  </w:style>
  <w:style w:type="paragraph" w:styleId="EnvelopeAddress">
    <w:name w:val="envelope address"/>
    <w:basedOn w:val="Normal"/>
    <w:uiPriority w:val="99"/>
    <w:semiHidden/>
    <w:rsid w:val="00CA6867"/>
    <w:pPr>
      <w:ind w:left="2880"/>
    </w:pPr>
    <w:rPr>
      <w:rFonts w:eastAsia="Times New Roman"/>
      <w:szCs w:val="24"/>
    </w:rPr>
  </w:style>
  <w:style w:type="paragraph" w:styleId="EnvelopeReturn">
    <w:name w:val="envelope return"/>
    <w:basedOn w:val="Normal"/>
    <w:uiPriority w:val="99"/>
    <w:semiHidden/>
    <w:unhideWhenUsed/>
    <w:rsid w:val="001E7139"/>
    <w:rPr>
      <w:rFonts w:eastAsia="Times New Roman"/>
      <w:sz w:val="20"/>
      <w:szCs w:val="20"/>
    </w:rPr>
  </w:style>
  <w:style w:type="paragraph" w:customStyle="1" w:styleId="AOListNumber">
    <w:name w:val="AOListNumber"/>
    <w:basedOn w:val="AOBodyTxt"/>
    <w:rsid w:val="001E7139"/>
    <w:pPr>
      <w:numPr>
        <w:numId w:val="18"/>
      </w:numPr>
      <w:tabs>
        <w:tab w:val="clear" w:pos="720"/>
      </w:tabs>
    </w:pPr>
  </w:style>
  <w:style w:type="character" w:styleId="PlaceholderText">
    <w:name w:val="Placeholder Text"/>
    <w:basedOn w:val="DefaultParagraphFont"/>
    <w:uiPriority w:val="99"/>
    <w:semiHidden/>
    <w:rsid w:val="001E7139"/>
    <w:rPr>
      <w:color w:val="808080"/>
    </w:rPr>
  </w:style>
  <w:style w:type="paragraph" w:styleId="BalloonText">
    <w:name w:val="Balloon Text"/>
    <w:basedOn w:val="Normal"/>
    <w:link w:val="BalloonTextChar"/>
    <w:uiPriority w:val="99"/>
    <w:semiHidden/>
    <w:unhideWhenUsed/>
    <w:rsid w:val="001E7139"/>
    <w:rPr>
      <w:rFonts w:ascii="Tahoma" w:hAnsi="Tahoma" w:cs="Tahoma"/>
      <w:sz w:val="16"/>
      <w:szCs w:val="16"/>
    </w:rPr>
  </w:style>
  <w:style w:type="character" w:customStyle="1" w:styleId="BalloonTextChar">
    <w:name w:val="Balloon Text Char"/>
    <w:basedOn w:val="DefaultParagraphFont"/>
    <w:link w:val="BalloonText"/>
    <w:uiPriority w:val="99"/>
    <w:semiHidden/>
    <w:rsid w:val="001E7139"/>
    <w:rPr>
      <w:rFonts w:ascii="Tahoma" w:hAnsi="Tahoma" w:cs="Tahoma"/>
      <w:sz w:val="16"/>
      <w:szCs w:val="16"/>
    </w:rPr>
  </w:style>
  <w:style w:type="table" w:styleId="TableGrid">
    <w:name w:val="Table Grid"/>
    <w:basedOn w:val="TableNormal"/>
    <w:uiPriority w:val="59"/>
    <w:rsid w:val="004553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C55E9"/>
    <w:rPr>
      <w:sz w:val="16"/>
      <w:szCs w:val="16"/>
    </w:rPr>
  </w:style>
  <w:style w:type="paragraph" w:styleId="CommentSubject">
    <w:name w:val="annotation subject"/>
    <w:basedOn w:val="CommentText"/>
    <w:next w:val="CommentText"/>
    <w:link w:val="CommentSubjectChar"/>
    <w:uiPriority w:val="99"/>
    <w:semiHidden/>
    <w:unhideWhenUsed/>
    <w:rsid w:val="00BC55E9"/>
    <w:rPr>
      <w:b/>
      <w:bCs/>
      <w:sz w:val="20"/>
    </w:rPr>
  </w:style>
  <w:style w:type="character" w:customStyle="1" w:styleId="CommentSubjectChar">
    <w:name w:val="Comment Subject Char"/>
    <w:basedOn w:val="CommentTextChar"/>
    <w:link w:val="CommentSubject"/>
    <w:uiPriority w:val="99"/>
    <w:semiHidden/>
    <w:rsid w:val="00BC55E9"/>
    <w:rPr>
      <w:rFonts w:cs="Times New Roman"/>
      <w:b/>
      <w:bCs/>
      <w:sz w:val="20"/>
      <w:szCs w:val="20"/>
    </w:rPr>
  </w:style>
  <w:style w:type="character" w:styleId="Hyperlink">
    <w:name w:val="Hyperlink"/>
    <w:basedOn w:val="DefaultParagraphFont"/>
    <w:uiPriority w:val="99"/>
    <w:unhideWhenUsed/>
    <w:rsid w:val="000A01CB"/>
    <w:rPr>
      <w:color w:val="0000FF" w:themeColor="hyperlink"/>
      <w:u w:val="single"/>
    </w:rPr>
  </w:style>
  <w:style w:type="character" w:styleId="FootnoteReference">
    <w:name w:val="footnote reference"/>
    <w:basedOn w:val="DefaultParagraphFont"/>
    <w:uiPriority w:val="99"/>
    <w:semiHidden/>
    <w:unhideWhenUsed/>
    <w:rsid w:val="00931E2A"/>
    <w:rPr>
      <w:vertAlign w:val="superscript"/>
    </w:rPr>
  </w:style>
  <w:style w:type="paragraph" w:styleId="Revision">
    <w:name w:val="Revision"/>
    <w:hidden/>
    <w:uiPriority w:val="99"/>
    <w:semiHidden/>
    <w:rsid w:val="00214054"/>
    <w:pPr>
      <w:spacing w:line="240" w:lineRule="auto"/>
    </w:pPr>
    <w:rPr>
      <w:rFonts w:cs="Times New Roman"/>
    </w:rPr>
  </w:style>
  <w:style w:type="character" w:styleId="UnresolvedMention">
    <w:name w:val="Unresolved Mention"/>
    <w:basedOn w:val="DefaultParagraphFont"/>
    <w:uiPriority w:val="99"/>
    <w:semiHidden/>
    <w:unhideWhenUsed/>
    <w:rsid w:val="00EC1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pdd.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2022-11-28T21:06:00Z</dcterms:created>
  <dcterms:modified xsi:type="dcterms:W3CDTF">2022-11-28T21:06:00Z</dcterms:modified>
</cp:coreProperties>
</file>