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986CD" w14:textId="77777777" w:rsidR="00C676AA" w:rsidRDefault="00C676AA" w:rsidP="00C676AA">
      <w:pPr>
        <w:jc w:val="center"/>
        <w:rPr>
          <w:b/>
          <w:bCs/>
          <w:color w:val="222222"/>
          <w:shd w:val="clear" w:color="auto" w:fill="FFFFFF"/>
        </w:rPr>
      </w:pPr>
      <w:r w:rsidRPr="00DD1B44">
        <w:rPr>
          <w:b/>
          <w:bCs/>
          <w:color w:val="222222"/>
          <w:shd w:val="clear" w:color="auto" w:fill="FFFFFF"/>
        </w:rPr>
        <w:t xml:space="preserve">This document was prepared by </w:t>
      </w:r>
      <w:r>
        <w:rPr>
          <w:b/>
          <w:bCs/>
          <w:color w:val="222222"/>
          <w:shd w:val="clear" w:color="auto" w:fill="FFFFFF"/>
        </w:rPr>
        <w:t xml:space="preserve">WE ACT for Environmental Justice and </w:t>
      </w:r>
      <w:r w:rsidRPr="00DD1B44">
        <w:rPr>
          <w:b/>
          <w:bCs/>
          <w:color w:val="222222"/>
          <w:shd w:val="clear" w:color="auto" w:fill="FFFFFF"/>
        </w:rPr>
        <w:t>the Sabin Center for Climate Change Law separate from the LPDD Project. With the permission</w:t>
      </w:r>
      <w:r>
        <w:rPr>
          <w:b/>
          <w:bCs/>
          <w:color w:val="222222"/>
          <w:shd w:val="clear" w:color="auto" w:fill="FFFFFF"/>
        </w:rPr>
        <w:t xml:space="preserve"> of these organizations</w:t>
      </w:r>
      <w:r w:rsidRPr="00DD1B44">
        <w:rPr>
          <w:b/>
          <w:bCs/>
          <w:color w:val="222222"/>
          <w:shd w:val="clear" w:color="auto" w:fill="FFFFFF"/>
        </w:rPr>
        <w:t xml:space="preserve">, it is being included here as part of the implementation project of Legal Pathways to Deep Decarbonization (Michael B. Gerrard and John C. Dernbach, eds. Environmental Law Institute [2019]) (LPDD).  For background information on the </w:t>
      </w:r>
      <w:r>
        <w:rPr>
          <w:b/>
          <w:bCs/>
          <w:color w:val="222222"/>
          <w:shd w:val="clear" w:color="auto" w:fill="FFFFFF"/>
        </w:rPr>
        <w:t xml:space="preserve">LPDD </w:t>
      </w:r>
      <w:r w:rsidRPr="00DD1B44">
        <w:rPr>
          <w:b/>
          <w:bCs/>
          <w:color w:val="222222"/>
          <w:shd w:val="clear" w:color="auto" w:fill="FFFFFF"/>
        </w:rPr>
        <w:t>project, see </w:t>
      </w:r>
      <w:hyperlink r:id="rId5" w:tgtFrame="_blank" w:history="1">
        <w:r w:rsidRPr="00DD1B44">
          <w:rPr>
            <w:rStyle w:val="Hyperlink"/>
            <w:b/>
            <w:bCs/>
            <w:color w:val="1155CC"/>
            <w:shd w:val="clear" w:color="auto" w:fill="FFFFFF"/>
          </w:rPr>
          <w:t>https://lpdd.org</w:t>
        </w:r>
      </w:hyperlink>
      <w:r>
        <w:rPr>
          <w:b/>
          <w:bCs/>
          <w:color w:val="222222"/>
          <w:shd w:val="clear" w:color="auto" w:fill="FFFFFF"/>
        </w:rPr>
        <w:t xml:space="preserve">. For more information on the collaboration between WE ACT for Environmental Justice and the Sabin Center for Climate Change Law, see </w:t>
      </w:r>
      <w:hyperlink r:id="rId6" w:history="1">
        <w:r w:rsidRPr="00CA7BB1">
          <w:rPr>
            <w:rStyle w:val="Hyperlink"/>
            <w:b/>
            <w:bCs/>
            <w:shd w:val="clear" w:color="auto" w:fill="FFFFFF"/>
          </w:rPr>
          <w:t>http://DismantlingInjustice.org</w:t>
        </w:r>
      </w:hyperlink>
      <w:r>
        <w:rPr>
          <w:b/>
          <w:bCs/>
          <w:color w:val="222222"/>
          <w:shd w:val="clear" w:color="auto" w:fill="FFFFFF"/>
        </w:rPr>
        <w:t xml:space="preserve">. </w:t>
      </w:r>
    </w:p>
    <w:p w14:paraId="01359674" w14:textId="77777777" w:rsidR="00C676AA" w:rsidRDefault="00C676AA">
      <w:pPr>
        <w:spacing w:before="60" w:line="276" w:lineRule="auto"/>
        <w:ind w:left="100"/>
        <w:rPr>
          <w:sz w:val="24"/>
        </w:rPr>
      </w:pPr>
    </w:p>
    <w:p w14:paraId="2D0C3A60" w14:textId="44C2D36B" w:rsidR="00D650AF" w:rsidRDefault="00000000">
      <w:pPr>
        <w:spacing w:before="60" w:line="276" w:lineRule="auto"/>
        <w:ind w:left="100"/>
        <w:rPr>
          <w:b/>
          <w:sz w:val="24"/>
        </w:rPr>
      </w:pPr>
      <w:r>
        <w:rPr>
          <w:sz w:val="24"/>
        </w:rPr>
        <w:t xml:space="preserve">This memorandum relates to the </w:t>
      </w:r>
      <w:r>
        <w:rPr>
          <w:b/>
          <w:sz w:val="24"/>
        </w:rPr>
        <w:t>MODEL STATUTE ELIMINATING AS-OF-RIGHT STATUS</w:t>
      </w:r>
      <w:r>
        <w:rPr>
          <w:b/>
          <w:spacing w:val="-15"/>
          <w:sz w:val="24"/>
        </w:rPr>
        <w:t xml:space="preserve"> </w:t>
      </w:r>
      <w:r>
        <w:rPr>
          <w:b/>
          <w:sz w:val="24"/>
        </w:rPr>
        <w:t>OF</w:t>
      </w:r>
      <w:r>
        <w:rPr>
          <w:b/>
          <w:spacing w:val="-15"/>
          <w:sz w:val="24"/>
        </w:rPr>
        <w:t xml:space="preserve"> </w:t>
      </w:r>
      <w:r>
        <w:rPr>
          <w:b/>
          <w:sz w:val="24"/>
        </w:rPr>
        <w:t>POLLUTING</w:t>
      </w:r>
      <w:r>
        <w:rPr>
          <w:b/>
          <w:spacing w:val="-15"/>
          <w:sz w:val="24"/>
        </w:rPr>
        <w:t xml:space="preserve"> </w:t>
      </w:r>
      <w:r>
        <w:rPr>
          <w:b/>
          <w:sz w:val="24"/>
        </w:rPr>
        <w:t>FACILITIES</w:t>
      </w:r>
      <w:r>
        <w:rPr>
          <w:b/>
          <w:spacing w:val="-15"/>
          <w:sz w:val="24"/>
        </w:rPr>
        <w:t xml:space="preserve"> </w:t>
      </w:r>
      <w:r>
        <w:rPr>
          <w:b/>
          <w:sz w:val="24"/>
        </w:rPr>
        <w:t>IN</w:t>
      </w:r>
      <w:r>
        <w:rPr>
          <w:b/>
          <w:spacing w:val="-15"/>
          <w:sz w:val="24"/>
        </w:rPr>
        <w:t xml:space="preserve"> </w:t>
      </w:r>
      <w:r>
        <w:rPr>
          <w:b/>
          <w:sz w:val="24"/>
        </w:rPr>
        <w:t>ENVIRONMENTAL</w:t>
      </w:r>
      <w:r>
        <w:rPr>
          <w:b/>
          <w:spacing w:val="-15"/>
          <w:sz w:val="24"/>
        </w:rPr>
        <w:t xml:space="preserve"> </w:t>
      </w:r>
      <w:r>
        <w:rPr>
          <w:b/>
          <w:sz w:val="24"/>
        </w:rPr>
        <w:t>JUSTICE</w:t>
      </w:r>
      <w:r>
        <w:rPr>
          <w:b/>
          <w:spacing w:val="-15"/>
          <w:sz w:val="24"/>
        </w:rPr>
        <w:t xml:space="preserve"> </w:t>
      </w:r>
      <w:r>
        <w:rPr>
          <w:b/>
          <w:sz w:val="24"/>
        </w:rPr>
        <w:t>AREAS.</w:t>
      </w:r>
    </w:p>
    <w:p w14:paraId="492837C9" w14:textId="77777777" w:rsidR="00D650AF" w:rsidRDefault="00D650AF">
      <w:pPr>
        <w:pStyle w:val="BodyText"/>
        <w:spacing w:before="6"/>
        <w:rPr>
          <w:b/>
          <w:sz w:val="27"/>
        </w:rPr>
      </w:pPr>
    </w:p>
    <w:p w14:paraId="26F0FBBA" w14:textId="77777777" w:rsidR="00D650AF" w:rsidRDefault="00000000">
      <w:pPr>
        <w:pStyle w:val="Heading1"/>
        <w:spacing w:before="1"/>
        <w:ind w:left="4128" w:firstLine="0"/>
      </w:pPr>
      <w:r>
        <w:rPr>
          <w:spacing w:val="-2"/>
        </w:rPr>
        <w:t>Introduction</w:t>
      </w:r>
    </w:p>
    <w:p w14:paraId="05F5E305" w14:textId="77777777" w:rsidR="00D650AF" w:rsidRDefault="00000000">
      <w:pPr>
        <w:pStyle w:val="BodyText"/>
        <w:spacing w:before="41" w:line="276" w:lineRule="auto"/>
        <w:ind w:left="100" w:right="174" w:firstLine="720"/>
      </w:pPr>
      <w:r>
        <w:t>This model bill addresses the issue of the development of new polluting facilities and their associated environmental and public health impacts in communities that are disproportionately susceptible to environmental burdens and their health effects. Exposure to common pollutants has a number of serious negative health effects, including cancer, cardiovascular and respiratory disease, infertility, asthma, and neurological and developmental disorders.</w:t>
      </w:r>
      <w:r>
        <w:rPr>
          <w:vertAlign w:val="superscript"/>
        </w:rPr>
        <w:t>1</w:t>
      </w:r>
      <w:r>
        <w:t xml:space="preserve"> These effects can be compounded when a person is exposed to multiple sources and types</w:t>
      </w:r>
      <w:r>
        <w:rPr>
          <w:spacing w:val="-4"/>
        </w:rPr>
        <w:t xml:space="preserve"> </w:t>
      </w:r>
      <w:r>
        <w:t>of</w:t>
      </w:r>
      <w:r>
        <w:rPr>
          <w:spacing w:val="-4"/>
        </w:rPr>
        <w:t xml:space="preserve"> </w:t>
      </w:r>
      <w:r>
        <w:t>environmental</w:t>
      </w:r>
      <w:r>
        <w:rPr>
          <w:spacing w:val="-4"/>
        </w:rPr>
        <w:t xml:space="preserve"> </w:t>
      </w:r>
      <w:r>
        <w:t>pollution,</w:t>
      </w:r>
      <w:r>
        <w:rPr>
          <w:vertAlign w:val="superscript"/>
        </w:rPr>
        <w:t>2</w:t>
      </w:r>
      <w:r>
        <w:rPr>
          <w:spacing w:val="-5"/>
        </w:rPr>
        <w:t xml:space="preserve"> </w:t>
      </w:r>
      <w:r>
        <w:t>negatively</w:t>
      </w:r>
      <w:r>
        <w:rPr>
          <w:spacing w:val="-4"/>
        </w:rPr>
        <w:t xml:space="preserve"> </w:t>
      </w:r>
      <w:r>
        <w:t>impacting</w:t>
      </w:r>
      <w:r>
        <w:rPr>
          <w:spacing w:val="-4"/>
        </w:rPr>
        <w:t xml:space="preserve"> </w:t>
      </w:r>
      <w:r>
        <w:t>their</w:t>
      </w:r>
      <w:r>
        <w:rPr>
          <w:spacing w:val="-4"/>
        </w:rPr>
        <w:t xml:space="preserve"> </w:t>
      </w:r>
      <w:r>
        <w:t>health</w:t>
      </w:r>
      <w:r>
        <w:rPr>
          <w:spacing w:val="-4"/>
        </w:rPr>
        <w:t xml:space="preserve"> </w:t>
      </w:r>
      <w:r>
        <w:t>and</w:t>
      </w:r>
      <w:r>
        <w:rPr>
          <w:spacing w:val="-4"/>
        </w:rPr>
        <w:t xml:space="preserve"> </w:t>
      </w:r>
      <w:r>
        <w:t>well-being</w:t>
      </w:r>
      <w:r>
        <w:rPr>
          <w:spacing w:val="-4"/>
        </w:rPr>
        <w:t xml:space="preserve"> </w:t>
      </w:r>
      <w:r>
        <w:t>in</w:t>
      </w:r>
      <w:r>
        <w:rPr>
          <w:spacing w:val="-4"/>
        </w:rPr>
        <w:t xml:space="preserve"> </w:t>
      </w:r>
      <w:r>
        <w:t>ways</w:t>
      </w:r>
      <w:r>
        <w:rPr>
          <w:spacing w:val="-4"/>
        </w:rPr>
        <w:t xml:space="preserve"> </w:t>
      </w:r>
      <w:r>
        <w:t>that are not identifiable when examining the impacts of a single stressor or source of pollution.</w:t>
      </w:r>
      <w:r>
        <w:rPr>
          <w:vertAlign w:val="superscript"/>
        </w:rPr>
        <w:t>3</w:t>
      </w:r>
    </w:p>
    <w:p w14:paraId="4512DF21" w14:textId="77777777" w:rsidR="00D650AF" w:rsidRDefault="00000000">
      <w:pPr>
        <w:pStyle w:val="BodyText"/>
        <w:spacing w:line="276" w:lineRule="auto"/>
        <w:ind w:left="100" w:right="139" w:firstLine="720"/>
      </w:pPr>
      <w:r>
        <w:t>Pollution contributed by a single source in isolation can have detrimental health effects for those who live, work, attend school, or recreate nearby.</w:t>
      </w:r>
      <w:r>
        <w:rPr>
          <w:vertAlign w:val="superscript"/>
        </w:rPr>
        <w:t>4</w:t>
      </w:r>
      <w:r>
        <w:t xml:space="preserve"> For example, a 2020 study found that the opening of a large delivery warehouse—a land use typically permitted without significant</w:t>
      </w:r>
      <w:r>
        <w:rPr>
          <w:spacing w:val="-4"/>
        </w:rPr>
        <w:t xml:space="preserve"> </w:t>
      </w:r>
      <w:r>
        <w:t>scrutiny</w:t>
      </w:r>
      <w:r>
        <w:rPr>
          <w:spacing w:val="-4"/>
        </w:rPr>
        <w:t xml:space="preserve"> </w:t>
      </w:r>
      <w:r>
        <w:t>in</w:t>
      </w:r>
      <w:r>
        <w:rPr>
          <w:spacing w:val="-4"/>
        </w:rPr>
        <w:t xml:space="preserve"> </w:t>
      </w:r>
      <w:r>
        <w:t>many</w:t>
      </w:r>
      <w:r>
        <w:rPr>
          <w:spacing w:val="-4"/>
        </w:rPr>
        <w:t xml:space="preserve"> </w:t>
      </w:r>
      <w:r>
        <w:t>areas—increased</w:t>
      </w:r>
      <w:r>
        <w:rPr>
          <w:spacing w:val="-4"/>
        </w:rPr>
        <w:t xml:space="preserve"> </w:t>
      </w:r>
      <w:r>
        <w:t>truck</w:t>
      </w:r>
      <w:r>
        <w:rPr>
          <w:spacing w:val="-4"/>
        </w:rPr>
        <w:t xml:space="preserve"> </w:t>
      </w:r>
      <w:r>
        <w:t>and</w:t>
      </w:r>
      <w:r>
        <w:rPr>
          <w:spacing w:val="-4"/>
        </w:rPr>
        <w:t xml:space="preserve"> </w:t>
      </w:r>
      <w:r>
        <w:t>vehicle</w:t>
      </w:r>
      <w:r>
        <w:rPr>
          <w:spacing w:val="-4"/>
        </w:rPr>
        <w:t xml:space="preserve"> </w:t>
      </w:r>
      <w:r>
        <w:t>traffic</w:t>
      </w:r>
      <w:r>
        <w:rPr>
          <w:spacing w:val="-4"/>
        </w:rPr>
        <w:t xml:space="preserve"> </w:t>
      </w:r>
      <w:r>
        <w:t>in</w:t>
      </w:r>
      <w:r>
        <w:rPr>
          <w:spacing w:val="-4"/>
        </w:rPr>
        <w:t xml:space="preserve"> </w:t>
      </w:r>
      <w:r>
        <w:t>the</w:t>
      </w:r>
      <w:r>
        <w:rPr>
          <w:spacing w:val="-4"/>
        </w:rPr>
        <w:t xml:space="preserve"> </w:t>
      </w:r>
      <w:r>
        <w:t>surrounding</w:t>
      </w:r>
      <w:r>
        <w:rPr>
          <w:spacing w:val="-4"/>
        </w:rPr>
        <w:t xml:space="preserve"> </w:t>
      </w:r>
      <w:r>
        <w:t>area</w:t>
      </w:r>
      <w:r>
        <w:rPr>
          <w:spacing w:val="-4"/>
        </w:rPr>
        <w:t xml:space="preserve"> </w:t>
      </w:r>
      <w:r>
        <w:t>by up to 40 percent, with observed increases in air pollution and noise as a result.</w:t>
      </w:r>
      <w:r>
        <w:rPr>
          <w:vertAlign w:val="superscript"/>
        </w:rPr>
        <w:t>5</w:t>
      </w:r>
      <w:r>
        <w:t xml:space="preserve"> The project’s environmental assessment failed to identify areas where traffic increased, underestimating the impact of the new facility on the surrounding neighborhoods. When government</w:t>
      </w:r>
    </w:p>
    <w:p w14:paraId="0006C431" w14:textId="77777777" w:rsidR="00D650AF" w:rsidRDefault="00000000">
      <w:pPr>
        <w:pStyle w:val="BodyText"/>
        <w:spacing w:line="276" w:lineRule="auto"/>
        <w:ind w:left="100"/>
      </w:pPr>
      <w:r>
        <w:t>decision-making</w:t>
      </w:r>
      <w:r>
        <w:rPr>
          <w:spacing w:val="-5"/>
        </w:rPr>
        <w:t xml:space="preserve"> </w:t>
      </w:r>
      <w:r>
        <w:t>may</w:t>
      </w:r>
      <w:r>
        <w:rPr>
          <w:spacing w:val="-5"/>
        </w:rPr>
        <w:t xml:space="preserve"> </w:t>
      </w:r>
      <w:r>
        <w:t>underestimate</w:t>
      </w:r>
      <w:r>
        <w:rPr>
          <w:spacing w:val="-5"/>
        </w:rPr>
        <w:t xml:space="preserve"> </w:t>
      </w:r>
      <w:r>
        <w:t>or</w:t>
      </w:r>
      <w:r>
        <w:rPr>
          <w:spacing w:val="-5"/>
        </w:rPr>
        <w:t xml:space="preserve"> </w:t>
      </w:r>
      <w:r>
        <w:t>overlook</w:t>
      </w:r>
      <w:r>
        <w:rPr>
          <w:spacing w:val="-5"/>
        </w:rPr>
        <w:t xml:space="preserve"> </w:t>
      </w:r>
      <w:r>
        <w:t>the</w:t>
      </w:r>
      <w:r>
        <w:rPr>
          <w:spacing w:val="-5"/>
        </w:rPr>
        <w:t xml:space="preserve"> </w:t>
      </w:r>
      <w:r>
        <w:t>burdensome</w:t>
      </w:r>
      <w:r>
        <w:rPr>
          <w:spacing w:val="-5"/>
        </w:rPr>
        <w:t xml:space="preserve"> </w:t>
      </w:r>
      <w:r>
        <w:t>effects</w:t>
      </w:r>
      <w:r>
        <w:rPr>
          <w:spacing w:val="-5"/>
        </w:rPr>
        <w:t xml:space="preserve"> </w:t>
      </w:r>
      <w:r>
        <w:t>of</w:t>
      </w:r>
      <w:r>
        <w:rPr>
          <w:spacing w:val="-5"/>
        </w:rPr>
        <w:t xml:space="preserve"> </w:t>
      </w:r>
      <w:r>
        <w:t>a</w:t>
      </w:r>
      <w:r>
        <w:rPr>
          <w:spacing w:val="-5"/>
        </w:rPr>
        <w:t xml:space="preserve"> </w:t>
      </w:r>
      <w:r>
        <w:t>single</w:t>
      </w:r>
      <w:r>
        <w:rPr>
          <w:spacing w:val="-5"/>
        </w:rPr>
        <w:t xml:space="preserve"> </w:t>
      </w:r>
      <w:proofErr w:type="gramStart"/>
      <w:r>
        <w:t>facility,</w:t>
      </w:r>
      <w:proofErr w:type="gramEnd"/>
      <w:r>
        <w:rPr>
          <w:spacing w:val="-5"/>
        </w:rPr>
        <w:t xml:space="preserve"> </w:t>
      </w:r>
      <w:r>
        <w:t>these effects are more easily compounded in areas where multiple sources of pollution are located.</w:t>
      </w:r>
    </w:p>
    <w:p w14:paraId="1EA13F0E" w14:textId="77777777" w:rsidR="00D650AF" w:rsidRDefault="00000000">
      <w:pPr>
        <w:pStyle w:val="BodyText"/>
        <w:spacing w:line="276" w:lineRule="auto"/>
        <w:ind w:left="100" w:firstLine="720"/>
      </w:pPr>
      <w:r>
        <w:t>These environmental burdens are more likely to exist in low-income communities and communities of color,</w:t>
      </w:r>
      <w:r>
        <w:rPr>
          <w:vertAlign w:val="superscript"/>
        </w:rPr>
        <w:t>6</w:t>
      </w:r>
      <w:r>
        <w:t xml:space="preserve"> and the legacy of racism, income inequality, and marginalization exacerbates</w:t>
      </w:r>
      <w:r>
        <w:rPr>
          <w:spacing w:val="-5"/>
        </w:rPr>
        <w:t xml:space="preserve"> </w:t>
      </w:r>
      <w:r>
        <w:t>their</w:t>
      </w:r>
      <w:r>
        <w:rPr>
          <w:spacing w:val="-5"/>
        </w:rPr>
        <w:t xml:space="preserve"> </w:t>
      </w:r>
      <w:r>
        <w:t>effects.</w:t>
      </w:r>
      <w:r>
        <w:rPr>
          <w:spacing w:val="-5"/>
        </w:rPr>
        <w:t xml:space="preserve"> </w:t>
      </w:r>
      <w:r>
        <w:t>Overlapping</w:t>
      </w:r>
      <w:r>
        <w:rPr>
          <w:spacing w:val="-5"/>
        </w:rPr>
        <w:t xml:space="preserve"> </w:t>
      </w:r>
      <w:r>
        <w:t>environmental,</w:t>
      </w:r>
      <w:r>
        <w:rPr>
          <w:spacing w:val="-5"/>
        </w:rPr>
        <w:t xml:space="preserve"> </w:t>
      </w:r>
      <w:r>
        <w:t>social,</w:t>
      </w:r>
      <w:r>
        <w:rPr>
          <w:spacing w:val="-5"/>
        </w:rPr>
        <w:t xml:space="preserve"> </w:t>
      </w:r>
      <w:r>
        <w:t>and</w:t>
      </w:r>
      <w:r>
        <w:rPr>
          <w:spacing w:val="-5"/>
        </w:rPr>
        <w:t xml:space="preserve"> </w:t>
      </w:r>
      <w:r>
        <w:t>socioeconomic</w:t>
      </w:r>
      <w:r>
        <w:rPr>
          <w:spacing w:val="-5"/>
        </w:rPr>
        <w:t xml:space="preserve"> </w:t>
      </w:r>
      <w:r>
        <w:t>factors</w:t>
      </w:r>
      <w:r>
        <w:rPr>
          <w:spacing w:val="-5"/>
        </w:rPr>
        <w:t xml:space="preserve"> </w:t>
      </w:r>
      <w:r>
        <w:t>can</w:t>
      </w:r>
      <w:r>
        <w:rPr>
          <w:spacing w:val="-5"/>
        </w:rPr>
        <w:t xml:space="preserve"> </w:t>
      </w:r>
      <w:r>
        <w:t>limit the ability of some communities to engage fully in public decision-making processes that can influence where environmental hazards are located.</w:t>
      </w:r>
      <w:r>
        <w:rPr>
          <w:vertAlign w:val="superscript"/>
        </w:rPr>
        <w:t>7</w:t>
      </w:r>
      <w:r>
        <w:t xml:space="preserve"> Meanwhile, limited access to essential services like affordable housing, quality healthcare, clean water, and reliable home heating and energy, combined with obstacles to social and economic mobility, increase a community’s</w:t>
      </w:r>
    </w:p>
    <w:p w14:paraId="2AFCB8DB" w14:textId="77777777" w:rsidR="00D650AF" w:rsidRDefault="00D650AF">
      <w:pPr>
        <w:pStyle w:val="BodyText"/>
        <w:rPr>
          <w:sz w:val="20"/>
        </w:rPr>
      </w:pPr>
    </w:p>
    <w:p w14:paraId="3C4C7696" w14:textId="77777777" w:rsidR="00D650AF" w:rsidRDefault="00D650AF">
      <w:pPr>
        <w:pStyle w:val="BodyText"/>
        <w:rPr>
          <w:sz w:val="20"/>
        </w:rPr>
      </w:pPr>
    </w:p>
    <w:p w14:paraId="5C6E27D7" w14:textId="77777777" w:rsidR="00D650AF" w:rsidRDefault="00000000">
      <w:pPr>
        <w:pStyle w:val="BodyText"/>
        <w:spacing w:before="8"/>
        <w:rPr>
          <w:sz w:val="16"/>
        </w:rPr>
      </w:pPr>
      <w:r>
        <w:rPr>
          <w:noProof/>
        </w:rPr>
        <mc:AlternateContent>
          <mc:Choice Requires="wps">
            <w:drawing>
              <wp:anchor distT="0" distB="0" distL="0" distR="0" simplePos="0" relativeHeight="487587840" behindDoc="1" locked="0" layoutInCell="1" allowOverlap="1" wp14:anchorId="4D745DC3" wp14:editId="043DD2FE">
                <wp:simplePos x="0" y="0"/>
                <wp:positionH relativeFrom="page">
                  <wp:posOffset>914400</wp:posOffset>
                </wp:positionH>
                <wp:positionV relativeFrom="paragraph">
                  <wp:posOffset>137407</wp:posOffset>
                </wp:positionV>
                <wp:extent cx="18288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371E6B" id="Graphic 1" o:spid="_x0000_s1026" style="position:absolute;margin-left:1in;margin-top:10.8pt;width:2in;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" path="m,l1828800,e" filled="f">
                <v:path arrowok="t"/>
                <w10:wrap type="topAndBottom" anchorx="page"/>
              </v:shape>
            </w:pict>
          </mc:Fallback>
        </mc:AlternateContent>
      </w:r>
    </w:p>
    <w:p w14:paraId="08FB4AA9" w14:textId="77777777" w:rsidR="00D650AF" w:rsidRDefault="00000000">
      <w:pPr>
        <w:spacing w:before="101"/>
        <w:ind w:left="100" w:right="174"/>
      </w:pPr>
      <w:r>
        <w:rPr>
          <w:vertAlign w:val="superscript"/>
        </w:rPr>
        <w:t>1</w:t>
      </w:r>
      <w:r>
        <w:rPr>
          <w:spacing w:val="-5"/>
        </w:rPr>
        <w:t xml:space="preserve"> </w:t>
      </w:r>
      <w:r>
        <w:t>California</w:t>
      </w:r>
      <w:r>
        <w:rPr>
          <w:spacing w:val="-5"/>
        </w:rPr>
        <w:t xml:space="preserve"> </w:t>
      </w:r>
      <w:r>
        <w:t>Office</w:t>
      </w:r>
      <w:r>
        <w:rPr>
          <w:spacing w:val="-5"/>
        </w:rPr>
        <w:t xml:space="preserve"> </w:t>
      </w:r>
      <w:r>
        <w:t>of</w:t>
      </w:r>
      <w:r>
        <w:rPr>
          <w:spacing w:val="-5"/>
        </w:rPr>
        <w:t xml:space="preserve"> </w:t>
      </w:r>
      <w:r>
        <w:t>Environmental</w:t>
      </w:r>
      <w:r>
        <w:rPr>
          <w:spacing w:val="-5"/>
        </w:rPr>
        <w:t xml:space="preserve"> </w:t>
      </w:r>
      <w:r>
        <w:t>Health</w:t>
      </w:r>
      <w:r>
        <w:rPr>
          <w:spacing w:val="-5"/>
        </w:rPr>
        <w:t xml:space="preserve"> </w:t>
      </w:r>
      <w:r>
        <w:t>Hazard</w:t>
      </w:r>
      <w:r>
        <w:rPr>
          <w:spacing w:val="-5"/>
        </w:rPr>
        <w:t xml:space="preserve"> </w:t>
      </w:r>
      <w:r>
        <w:t>Assessment,</w:t>
      </w:r>
      <w:r>
        <w:rPr>
          <w:spacing w:val="-5"/>
        </w:rPr>
        <w:t xml:space="preserve"> </w:t>
      </w:r>
      <w:r>
        <w:t>Cumulative</w:t>
      </w:r>
      <w:r>
        <w:rPr>
          <w:spacing w:val="-5"/>
        </w:rPr>
        <w:t xml:space="preserve"> </w:t>
      </w:r>
      <w:r>
        <w:t>Impacts:</w:t>
      </w:r>
      <w:r>
        <w:rPr>
          <w:spacing w:val="-5"/>
        </w:rPr>
        <w:t xml:space="preserve"> </w:t>
      </w:r>
      <w:r>
        <w:t>Building</w:t>
      </w:r>
      <w:r>
        <w:rPr>
          <w:spacing w:val="-5"/>
        </w:rPr>
        <w:t xml:space="preserve"> </w:t>
      </w:r>
      <w:r>
        <w:t xml:space="preserve">a Scientific Foundation 7 (2010), </w:t>
      </w:r>
      <w:r>
        <w:rPr>
          <w:spacing w:val="-2"/>
        </w:rPr>
        <w:t>https://oehha.ca.gov/media/downloads/calenviroscreen/report/cireport123110.pdf.</w:t>
      </w:r>
    </w:p>
    <w:p w14:paraId="2B6BE9EC" w14:textId="77777777" w:rsidR="00D650AF" w:rsidRDefault="00000000">
      <w:pPr>
        <w:ind w:left="100"/>
      </w:pPr>
      <w:r>
        <w:rPr>
          <w:vertAlign w:val="superscript"/>
        </w:rPr>
        <w:t>2</w:t>
      </w:r>
      <w:r>
        <w:rPr>
          <w:spacing w:val="-5"/>
        </w:rPr>
        <w:t xml:space="preserve"> Id.</w:t>
      </w:r>
    </w:p>
    <w:p w14:paraId="65F9C2DF" w14:textId="77777777" w:rsidR="00D650AF" w:rsidRDefault="00000000">
      <w:pPr>
        <w:ind w:left="100" w:right="139"/>
      </w:pPr>
      <w:r>
        <w:rPr>
          <w:vertAlign w:val="superscript"/>
        </w:rPr>
        <w:t>3</w:t>
      </w:r>
      <w:r>
        <w:rPr>
          <w:spacing w:val="-5"/>
        </w:rPr>
        <w:t xml:space="preserve"> </w:t>
      </w:r>
      <w:r>
        <w:t>Rachel</w:t>
      </w:r>
      <w:r>
        <w:rPr>
          <w:spacing w:val="-5"/>
        </w:rPr>
        <w:t xml:space="preserve"> </w:t>
      </w:r>
      <w:r>
        <w:t>Morello-Frosch</w:t>
      </w:r>
      <w:r>
        <w:rPr>
          <w:spacing w:val="-5"/>
        </w:rPr>
        <w:t xml:space="preserve"> </w:t>
      </w:r>
      <w:r>
        <w:t>et</w:t>
      </w:r>
      <w:r>
        <w:rPr>
          <w:spacing w:val="-5"/>
        </w:rPr>
        <w:t xml:space="preserve"> </w:t>
      </w:r>
      <w:r>
        <w:t>al.,</w:t>
      </w:r>
      <w:r>
        <w:rPr>
          <w:spacing w:val="-5"/>
        </w:rPr>
        <w:t xml:space="preserve"> </w:t>
      </w:r>
      <w:r>
        <w:t>Understanding</w:t>
      </w:r>
      <w:r>
        <w:rPr>
          <w:spacing w:val="-5"/>
        </w:rPr>
        <w:t xml:space="preserve"> </w:t>
      </w:r>
      <w:r>
        <w:t>the</w:t>
      </w:r>
      <w:r>
        <w:rPr>
          <w:spacing w:val="-5"/>
        </w:rPr>
        <w:t xml:space="preserve"> </w:t>
      </w:r>
      <w:r>
        <w:t>Cumulative</w:t>
      </w:r>
      <w:r>
        <w:rPr>
          <w:spacing w:val="-5"/>
        </w:rPr>
        <w:t xml:space="preserve"> </w:t>
      </w:r>
      <w:r>
        <w:t>Impacts</w:t>
      </w:r>
      <w:r>
        <w:rPr>
          <w:spacing w:val="-5"/>
        </w:rPr>
        <w:t xml:space="preserve"> </w:t>
      </w:r>
      <w:r>
        <w:t>of</w:t>
      </w:r>
      <w:r>
        <w:rPr>
          <w:spacing w:val="-5"/>
        </w:rPr>
        <w:t xml:space="preserve"> </w:t>
      </w:r>
      <w:r>
        <w:t>Inequalities</w:t>
      </w:r>
      <w:r>
        <w:rPr>
          <w:spacing w:val="-5"/>
        </w:rPr>
        <w:t xml:space="preserve"> </w:t>
      </w:r>
      <w:r>
        <w:t>in</w:t>
      </w:r>
      <w:r>
        <w:rPr>
          <w:spacing w:val="-5"/>
        </w:rPr>
        <w:t xml:space="preserve"> </w:t>
      </w:r>
      <w:r>
        <w:t xml:space="preserve">Environmental Health: Implications for Policy, Health Affairs (May 2011), at 879, </w:t>
      </w:r>
      <w:r>
        <w:rPr>
          <w:spacing w:val="-2"/>
        </w:rPr>
        <w:t>https://</w:t>
      </w:r>
      <w:hyperlink r:id="rId7">
        <w:r>
          <w:rPr>
            <w:spacing w:val="-2"/>
          </w:rPr>
          <w:t>www.healthaffairs.org/doi/10.1377/hlthaff.2011.0153.</w:t>
        </w:r>
      </w:hyperlink>
    </w:p>
    <w:p w14:paraId="39B5D16F" w14:textId="77777777" w:rsidR="00D650AF" w:rsidRDefault="00000000">
      <w:pPr>
        <w:ind w:left="100" w:right="1082"/>
      </w:pPr>
      <w:r>
        <w:rPr>
          <w:vertAlign w:val="superscript"/>
        </w:rPr>
        <w:t>4</w:t>
      </w:r>
      <w:r>
        <w:rPr>
          <w:spacing w:val="-4"/>
        </w:rPr>
        <w:t xml:space="preserve"> </w:t>
      </w:r>
      <w:r>
        <w:t>See,</w:t>
      </w:r>
      <w:r>
        <w:rPr>
          <w:spacing w:val="-4"/>
        </w:rPr>
        <w:t xml:space="preserve"> </w:t>
      </w:r>
      <w:r>
        <w:t>e.g.,</w:t>
      </w:r>
      <w:r>
        <w:rPr>
          <w:spacing w:val="-4"/>
        </w:rPr>
        <w:t xml:space="preserve"> </w:t>
      </w:r>
      <w:r>
        <w:t>Sarah</w:t>
      </w:r>
      <w:r>
        <w:rPr>
          <w:spacing w:val="-4"/>
        </w:rPr>
        <w:t xml:space="preserve"> </w:t>
      </w:r>
      <w:r>
        <w:t>Penney</w:t>
      </w:r>
      <w:r>
        <w:rPr>
          <w:spacing w:val="-4"/>
        </w:rPr>
        <w:t xml:space="preserve"> </w:t>
      </w:r>
      <w:r>
        <w:t>et</w:t>
      </w:r>
      <w:r>
        <w:rPr>
          <w:spacing w:val="-4"/>
        </w:rPr>
        <w:t xml:space="preserve"> </w:t>
      </w:r>
      <w:r>
        <w:t>al.,</w:t>
      </w:r>
      <w:r>
        <w:rPr>
          <w:spacing w:val="-4"/>
        </w:rPr>
        <w:t xml:space="preserve"> </w:t>
      </w:r>
      <w:r>
        <w:t>Environmental</w:t>
      </w:r>
      <w:r>
        <w:rPr>
          <w:spacing w:val="-4"/>
        </w:rPr>
        <w:t xml:space="preserve"> </w:t>
      </w:r>
      <w:r>
        <w:t>Defense</w:t>
      </w:r>
      <w:r>
        <w:rPr>
          <w:spacing w:val="-4"/>
        </w:rPr>
        <w:t xml:space="preserve"> </w:t>
      </w:r>
      <w:r>
        <w:t>Fund,</w:t>
      </w:r>
      <w:r>
        <w:rPr>
          <w:spacing w:val="-4"/>
        </w:rPr>
        <w:t xml:space="preserve"> </w:t>
      </w:r>
      <w:r>
        <w:t>Estimating</w:t>
      </w:r>
      <w:r>
        <w:rPr>
          <w:spacing w:val="-4"/>
        </w:rPr>
        <w:t xml:space="preserve"> </w:t>
      </w:r>
      <w:r>
        <w:t>the</w:t>
      </w:r>
      <w:r>
        <w:rPr>
          <w:spacing w:val="-4"/>
        </w:rPr>
        <w:t xml:space="preserve"> </w:t>
      </w:r>
      <w:r>
        <w:t>Health</w:t>
      </w:r>
      <w:r>
        <w:rPr>
          <w:spacing w:val="-4"/>
        </w:rPr>
        <w:t xml:space="preserve"> </w:t>
      </w:r>
      <w:r>
        <w:t>Impacts</w:t>
      </w:r>
      <w:r>
        <w:rPr>
          <w:spacing w:val="-4"/>
        </w:rPr>
        <w:t xml:space="preserve"> </w:t>
      </w:r>
      <w:r>
        <w:t>of Coal-Fired Power Plants Receiving International Financing (2009).</w:t>
      </w:r>
    </w:p>
    <w:p w14:paraId="0F3062CC" w14:textId="77777777" w:rsidR="00D650AF" w:rsidRDefault="00000000">
      <w:pPr>
        <w:ind w:left="100"/>
      </w:pPr>
      <w:r>
        <w:rPr>
          <w:vertAlign w:val="superscript"/>
        </w:rPr>
        <w:lastRenderedPageBreak/>
        <w:t>5</w:t>
      </w:r>
      <w:r>
        <w:rPr>
          <w:spacing w:val="-5"/>
        </w:rPr>
        <w:t xml:space="preserve"> </w:t>
      </w:r>
      <w:r>
        <w:t>Jenni</w:t>
      </w:r>
      <w:r>
        <w:rPr>
          <w:spacing w:val="-5"/>
        </w:rPr>
        <w:t xml:space="preserve"> </w:t>
      </w:r>
      <w:r>
        <w:t>A.</w:t>
      </w:r>
      <w:r>
        <w:rPr>
          <w:spacing w:val="-5"/>
        </w:rPr>
        <w:t xml:space="preserve"> </w:t>
      </w:r>
      <w:proofErr w:type="spellStart"/>
      <w:r>
        <w:t>Shearston</w:t>
      </w:r>
      <w:proofErr w:type="spellEnd"/>
      <w:r>
        <w:rPr>
          <w:spacing w:val="-5"/>
        </w:rPr>
        <w:t xml:space="preserve"> </w:t>
      </w:r>
      <w:r>
        <w:t>et</w:t>
      </w:r>
      <w:r>
        <w:rPr>
          <w:spacing w:val="-5"/>
        </w:rPr>
        <w:t xml:space="preserve"> </w:t>
      </w:r>
      <w:r>
        <w:t>al.,</w:t>
      </w:r>
      <w:r>
        <w:rPr>
          <w:spacing w:val="-5"/>
        </w:rPr>
        <w:t xml:space="preserve"> </w:t>
      </w:r>
      <w:r>
        <w:t>Opening</w:t>
      </w:r>
      <w:r>
        <w:rPr>
          <w:spacing w:val="-5"/>
        </w:rPr>
        <w:t xml:space="preserve"> </w:t>
      </w:r>
      <w:r>
        <w:t>a</w:t>
      </w:r>
      <w:r>
        <w:rPr>
          <w:spacing w:val="-5"/>
        </w:rPr>
        <w:t xml:space="preserve"> </w:t>
      </w:r>
      <w:r>
        <w:t>Large</w:t>
      </w:r>
      <w:r>
        <w:rPr>
          <w:spacing w:val="-5"/>
        </w:rPr>
        <w:t xml:space="preserve"> </w:t>
      </w:r>
      <w:r>
        <w:t>Delivery</w:t>
      </w:r>
      <w:r>
        <w:rPr>
          <w:spacing w:val="-5"/>
        </w:rPr>
        <w:t xml:space="preserve"> </w:t>
      </w:r>
      <w:r>
        <w:t>Service</w:t>
      </w:r>
      <w:r>
        <w:rPr>
          <w:spacing w:val="-5"/>
        </w:rPr>
        <w:t xml:space="preserve"> </w:t>
      </w:r>
      <w:r>
        <w:t>Warehouse</w:t>
      </w:r>
      <w:r>
        <w:rPr>
          <w:spacing w:val="-5"/>
        </w:rPr>
        <w:t xml:space="preserve"> </w:t>
      </w:r>
      <w:r>
        <w:t>in</w:t>
      </w:r>
      <w:r>
        <w:rPr>
          <w:spacing w:val="-5"/>
        </w:rPr>
        <w:t xml:space="preserve"> </w:t>
      </w:r>
      <w:r>
        <w:t>the</w:t>
      </w:r>
      <w:r>
        <w:rPr>
          <w:spacing w:val="-5"/>
        </w:rPr>
        <w:t xml:space="preserve"> </w:t>
      </w:r>
      <w:r>
        <w:t>South</w:t>
      </w:r>
      <w:r>
        <w:rPr>
          <w:spacing w:val="-5"/>
        </w:rPr>
        <w:t xml:space="preserve"> </w:t>
      </w:r>
      <w:r>
        <w:t>Bronx:</w:t>
      </w:r>
      <w:r>
        <w:rPr>
          <w:spacing w:val="-5"/>
        </w:rPr>
        <w:t xml:space="preserve"> </w:t>
      </w:r>
      <w:r>
        <w:t>Impacts</w:t>
      </w:r>
      <w:r>
        <w:rPr>
          <w:spacing w:val="-5"/>
        </w:rPr>
        <w:t xml:space="preserve"> </w:t>
      </w:r>
      <w:r>
        <w:t xml:space="preserve">on Traffic, Air Pollution, and Noise, Int. J. </w:t>
      </w:r>
      <w:proofErr w:type="spellStart"/>
      <w:r>
        <w:t>Envir</w:t>
      </w:r>
      <w:proofErr w:type="spellEnd"/>
      <w:r>
        <w:t>. Res. &amp; Pub. Health (2020).</w:t>
      </w:r>
    </w:p>
    <w:p w14:paraId="4E4AECEC" w14:textId="77777777" w:rsidR="00D650AF" w:rsidRDefault="00000000">
      <w:pPr>
        <w:ind w:left="100"/>
      </w:pPr>
      <w:r>
        <w:rPr>
          <w:vertAlign w:val="superscript"/>
        </w:rPr>
        <w:t>6</w:t>
      </w:r>
      <w:r>
        <w:rPr>
          <w:spacing w:val="-7"/>
        </w:rPr>
        <w:t xml:space="preserve"> </w:t>
      </w:r>
      <w:r>
        <w:t>California</w:t>
      </w:r>
      <w:r>
        <w:rPr>
          <w:spacing w:val="-6"/>
        </w:rPr>
        <w:t xml:space="preserve"> </w:t>
      </w:r>
      <w:r>
        <w:t>OEHHA,</w:t>
      </w:r>
      <w:r>
        <w:rPr>
          <w:spacing w:val="-6"/>
        </w:rPr>
        <w:t xml:space="preserve"> </w:t>
      </w:r>
      <w:r>
        <w:t>supra,</w:t>
      </w:r>
      <w:r>
        <w:rPr>
          <w:spacing w:val="-6"/>
        </w:rPr>
        <w:t xml:space="preserve"> </w:t>
      </w:r>
      <w:r>
        <w:t>at</w:t>
      </w:r>
      <w:r>
        <w:rPr>
          <w:spacing w:val="-6"/>
        </w:rPr>
        <w:t xml:space="preserve"> </w:t>
      </w:r>
      <w:r>
        <w:t>7-</w:t>
      </w:r>
      <w:r>
        <w:rPr>
          <w:spacing w:val="-5"/>
        </w:rPr>
        <w:t>10.</w:t>
      </w:r>
    </w:p>
    <w:p w14:paraId="2B6FF825" w14:textId="77777777" w:rsidR="00D650AF" w:rsidRDefault="00000000">
      <w:pPr>
        <w:ind w:left="100"/>
      </w:pPr>
      <w:r>
        <w:rPr>
          <w:rFonts w:ascii="Arial"/>
          <w:position w:val="8"/>
          <w:sz w:val="12"/>
        </w:rPr>
        <w:t>7</w:t>
      </w:r>
      <w:r>
        <w:rPr>
          <w:rFonts w:ascii="Arial"/>
          <w:spacing w:val="17"/>
          <w:position w:val="8"/>
          <w:sz w:val="12"/>
        </w:rPr>
        <w:t xml:space="preserve"> </w:t>
      </w:r>
      <w:r>
        <w:t>Morello-Frosch</w:t>
      </w:r>
      <w:r>
        <w:rPr>
          <w:spacing w:val="-5"/>
        </w:rPr>
        <w:t xml:space="preserve"> </w:t>
      </w:r>
      <w:r>
        <w:t>et</w:t>
      </w:r>
      <w:r>
        <w:rPr>
          <w:spacing w:val="-5"/>
        </w:rPr>
        <w:t xml:space="preserve"> </w:t>
      </w:r>
      <w:r>
        <w:t>al.,</w:t>
      </w:r>
      <w:r>
        <w:rPr>
          <w:spacing w:val="-5"/>
        </w:rPr>
        <w:t xml:space="preserve"> </w:t>
      </w:r>
      <w:r>
        <w:t>supra,</w:t>
      </w:r>
      <w:r>
        <w:rPr>
          <w:spacing w:val="-5"/>
        </w:rPr>
        <w:t xml:space="preserve"> </w:t>
      </w:r>
      <w:r>
        <w:t>at</w:t>
      </w:r>
      <w:r>
        <w:rPr>
          <w:spacing w:val="-4"/>
        </w:rPr>
        <w:t xml:space="preserve"> 883.</w:t>
      </w:r>
    </w:p>
    <w:p w14:paraId="018F7830" w14:textId="77777777" w:rsidR="00D650AF" w:rsidRDefault="00D650AF">
      <w:pPr>
        <w:sectPr w:rsidR="00D650AF">
          <w:type w:val="continuous"/>
          <w:pgSz w:w="12240" w:h="15840"/>
          <w:pgMar w:top="1380" w:right="1340" w:bottom="280" w:left="1340" w:header="720" w:footer="720" w:gutter="0"/>
          <w:cols w:space="720"/>
        </w:sectPr>
      </w:pPr>
    </w:p>
    <w:p w14:paraId="78028D9F" w14:textId="77777777" w:rsidR="00D650AF" w:rsidRDefault="00000000">
      <w:pPr>
        <w:pStyle w:val="BodyText"/>
        <w:spacing w:before="80" w:line="276" w:lineRule="auto"/>
        <w:ind w:left="100" w:right="96"/>
      </w:pPr>
      <w:r>
        <w:lastRenderedPageBreak/>
        <w:t>susceptibility</w:t>
      </w:r>
      <w:r>
        <w:rPr>
          <w:spacing w:val="-3"/>
        </w:rPr>
        <w:t xml:space="preserve"> </w:t>
      </w:r>
      <w:r>
        <w:t>to</w:t>
      </w:r>
      <w:r>
        <w:rPr>
          <w:spacing w:val="-3"/>
        </w:rPr>
        <w:t xml:space="preserve"> </w:t>
      </w:r>
      <w:r>
        <w:t>environmental</w:t>
      </w:r>
      <w:r>
        <w:rPr>
          <w:spacing w:val="-3"/>
        </w:rPr>
        <w:t xml:space="preserve"> </w:t>
      </w:r>
      <w:r>
        <w:t>harms</w:t>
      </w:r>
      <w:r>
        <w:rPr>
          <w:spacing w:val="-3"/>
        </w:rPr>
        <w:t xml:space="preserve"> </w:t>
      </w:r>
      <w:r>
        <w:t>and</w:t>
      </w:r>
      <w:r>
        <w:rPr>
          <w:spacing w:val="-3"/>
        </w:rPr>
        <w:t xml:space="preserve"> </w:t>
      </w:r>
      <w:r>
        <w:t>toxins.</w:t>
      </w:r>
      <w:r>
        <w:rPr>
          <w:vertAlign w:val="superscript"/>
        </w:rPr>
        <w:t>8</w:t>
      </w:r>
      <w:r>
        <w:rPr>
          <w:spacing w:val="-4"/>
        </w:rPr>
        <w:t xml:space="preserve"> </w:t>
      </w:r>
      <w:r>
        <w:t>While</w:t>
      </w:r>
      <w:r>
        <w:rPr>
          <w:spacing w:val="-3"/>
        </w:rPr>
        <w:t xml:space="preserve"> </w:t>
      </w:r>
      <w:r>
        <w:t>these</w:t>
      </w:r>
      <w:r>
        <w:rPr>
          <w:spacing w:val="-3"/>
        </w:rPr>
        <w:t xml:space="preserve"> </w:t>
      </w:r>
      <w:r>
        <w:t>communities</w:t>
      </w:r>
      <w:r>
        <w:rPr>
          <w:spacing w:val="-3"/>
        </w:rPr>
        <w:t xml:space="preserve"> </w:t>
      </w:r>
      <w:r>
        <w:t>are</w:t>
      </w:r>
      <w:r>
        <w:rPr>
          <w:spacing w:val="-3"/>
        </w:rPr>
        <w:t xml:space="preserve"> </w:t>
      </w:r>
      <w:r>
        <w:t>more</w:t>
      </w:r>
      <w:r>
        <w:rPr>
          <w:spacing w:val="-3"/>
        </w:rPr>
        <w:t xml:space="preserve"> </w:t>
      </w:r>
      <w:r>
        <w:t>likely</w:t>
      </w:r>
      <w:r>
        <w:rPr>
          <w:spacing w:val="-3"/>
        </w:rPr>
        <w:t xml:space="preserve"> </w:t>
      </w:r>
      <w:r>
        <w:t>to</w:t>
      </w:r>
      <w:r>
        <w:rPr>
          <w:spacing w:val="-3"/>
        </w:rPr>
        <w:t xml:space="preserve"> </w:t>
      </w:r>
      <w:r>
        <w:t>be burdened</w:t>
      </w:r>
      <w:r>
        <w:rPr>
          <w:spacing w:val="-4"/>
        </w:rPr>
        <w:t xml:space="preserve"> </w:t>
      </w:r>
      <w:r>
        <w:t>with</w:t>
      </w:r>
      <w:r>
        <w:rPr>
          <w:spacing w:val="-4"/>
        </w:rPr>
        <w:t xml:space="preserve"> </w:t>
      </w:r>
      <w:r>
        <w:t>pollution,</w:t>
      </w:r>
      <w:r>
        <w:rPr>
          <w:spacing w:val="-4"/>
        </w:rPr>
        <w:t xml:space="preserve"> </w:t>
      </w:r>
      <w:r>
        <w:t>residents</w:t>
      </w:r>
      <w:r>
        <w:rPr>
          <w:spacing w:val="-4"/>
        </w:rPr>
        <w:t xml:space="preserve"> </w:t>
      </w:r>
      <w:r>
        <w:t>are</w:t>
      </w:r>
      <w:r>
        <w:rPr>
          <w:spacing w:val="-4"/>
        </w:rPr>
        <w:t xml:space="preserve"> </w:t>
      </w:r>
      <w:r>
        <w:t>more</w:t>
      </w:r>
      <w:r>
        <w:rPr>
          <w:spacing w:val="-4"/>
        </w:rPr>
        <w:t xml:space="preserve"> </w:t>
      </w:r>
      <w:r>
        <w:t>likely</w:t>
      </w:r>
      <w:r>
        <w:rPr>
          <w:spacing w:val="-4"/>
        </w:rPr>
        <w:t xml:space="preserve"> </w:t>
      </w:r>
      <w:r>
        <w:t>to</w:t>
      </w:r>
      <w:r>
        <w:rPr>
          <w:spacing w:val="-4"/>
        </w:rPr>
        <w:t xml:space="preserve"> </w:t>
      </w:r>
      <w:r>
        <w:t>suffer</w:t>
      </w:r>
      <w:r>
        <w:rPr>
          <w:spacing w:val="-4"/>
        </w:rPr>
        <w:t xml:space="preserve"> </w:t>
      </w:r>
      <w:r>
        <w:t>from</w:t>
      </w:r>
      <w:r>
        <w:rPr>
          <w:spacing w:val="-4"/>
        </w:rPr>
        <w:t xml:space="preserve"> </w:t>
      </w:r>
      <w:r>
        <w:t>cardiovascular</w:t>
      </w:r>
      <w:r>
        <w:rPr>
          <w:spacing w:val="-4"/>
        </w:rPr>
        <w:t xml:space="preserve"> </w:t>
      </w:r>
      <w:r>
        <w:t>disease,</w:t>
      </w:r>
      <w:r>
        <w:rPr>
          <w:spacing w:val="-4"/>
        </w:rPr>
        <w:t xml:space="preserve"> </w:t>
      </w:r>
      <w:r>
        <w:t>diabetes, asthma,</w:t>
      </w:r>
      <w:r>
        <w:rPr>
          <w:spacing w:val="-1"/>
        </w:rPr>
        <w:t xml:space="preserve"> </w:t>
      </w:r>
      <w:r>
        <w:t>cancer,</w:t>
      </w:r>
      <w:r>
        <w:rPr>
          <w:spacing w:val="-1"/>
        </w:rPr>
        <w:t xml:space="preserve"> </w:t>
      </w:r>
      <w:r>
        <w:t>reproductive</w:t>
      </w:r>
      <w:r>
        <w:rPr>
          <w:spacing w:val="-1"/>
        </w:rPr>
        <w:t xml:space="preserve"> </w:t>
      </w:r>
      <w:r>
        <w:t>harms,</w:t>
      </w:r>
      <w:r>
        <w:rPr>
          <w:spacing w:val="-1"/>
        </w:rPr>
        <w:t xml:space="preserve"> </w:t>
      </w:r>
      <w:r>
        <w:t>and</w:t>
      </w:r>
      <w:r>
        <w:rPr>
          <w:spacing w:val="-1"/>
        </w:rPr>
        <w:t xml:space="preserve"> </w:t>
      </w:r>
      <w:r>
        <w:t>premature</w:t>
      </w:r>
      <w:r>
        <w:rPr>
          <w:spacing w:val="-1"/>
        </w:rPr>
        <w:t xml:space="preserve"> </w:t>
      </w:r>
      <w:r>
        <w:t>mortality,</w:t>
      </w:r>
      <w:r>
        <w:rPr>
          <w:spacing w:val="-1"/>
        </w:rPr>
        <w:t xml:space="preserve"> </w:t>
      </w:r>
      <w:r>
        <w:t>as</w:t>
      </w:r>
      <w:r>
        <w:rPr>
          <w:spacing w:val="-1"/>
        </w:rPr>
        <w:t xml:space="preserve"> </w:t>
      </w:r>
      <w:r>
        <w:t>well</w:t>
      </w:r>
      <w:r>
        <w:rPr>
          <w:spacing w:val="-1"/>
        </w:rPr>
        <w:t xml:space="preserve"> </w:t>
      </w:r>
      <w:r>
        <w:t>as</w:t>
      </w:r>
      <w:r>
        <w:rPr>
          <w:spacing w:val="-1"/>
        </w:rPr>
        <w:t xml:space="preserve"> </w:t>
      </w:r>
      <w:r>
        <w:t>other</w:t>
      </w:r>
      <w:r>
        <w:rPr>
          <w:spacing w:val="-1"/>
        </w:rPr>
        <w:t xml:space="preserve"> </w:t>
      </w:r>
      <w:r>
        <w:t>medical</w:t>
      </w:r>
      <w:r>
        <w:rPr>
          <w:spacing w:val="-1"/>
        </w:rPr>
        <w:t xml:space="preserve"> </w:t>
      </w:r>
      <w:r>
        <w:t>conditions that leave them more susceptible to the negative health effects of pollution.</w:t>
      </w:r>
      <w:r>
        <w:rPr>
          <w:vertAlign w:val="superscript"/>
        </w:rPr>
        <w:t>9</w:t>
      </w:r>
      <w:r>
        <w:t xml:space="preserve"> While existing environmental laws at the state and federal level often assess the potential impacts of individual facilities in isolation, the cumulative impacts framework requires further assessment of how multiple environmental stressors may interact to create additional environmental and public health burdens for the surrounding community and its residents.</w:t>
      </w:r>
      <w:r>
        <w:rPr>
          <w:vertAlign w:val="superscript"/>
        </w:rPr>
        <w:t>10</w:t>
      </w:r>
    </w:p>
    <w:p w14:paraId="14FFF1D8" w14:textId="77777777" w:rsidR="00D650AF" w:rsidRDefault="00000000">
      <w:pPr>
        <w:pStyle w:val="BodyText"/>
        <w:spacing w:line="276" w:lineRule="auto"/>
        <w:ind w:left="100" w:firstLine="720"/>
      </w:pPr>
      <w:r>
        <w:t>To help address the outsized environmental and public health burdens borne by disadvantaged communities, this bill eliminates as-of-right zoning for polluting facilities in designated</w:t>
      </w:r>
      <w:r>
        <w:rPr>
          <w:spacing w:val="-4"/>
        </w:rPr>
        <w:t xml:space="preserve"> </w:t>
      </w:r>
      <w:r>
        <w:t>environmental</w:t>
      </w:r>
      <w:r>
        <w:rPr>
          <w:spacing w:val="-4"/>
        </w:rPr>
        <w:t xml:space="preserve"> </w:t>
      </w:r>
      <w:r>
        <w:t>justice</w:t>
      </w:r>
      <w:r>
        <w:rPr>
          <w:spacing w:val="-4"/>
        </w:rPr>
        <w:t xml:space="preserve"> </w:t>
      </w:r>
      <w:r>
        <w:t>areas.</w:t>
      </w:r>
      <w:r>
        <w:rPr>
          <w:spacing w:val="-4"/>
        </w:rPr>
        <w:t xml:space="preserve"> </w:t>
      </w:r>
      <w:r>
        <w:t>As-of-right</w:t>
      </w:r>
      <w:r>
        <w:rPr>
          <w:spacing w:val="-4"/>
        </w:rPr>
        <w:t xml:space="preserve"> </w:t>
      </w:r>
      <w:r>
        <w:t>zoning</w:t>
      </w:r>
      <w:r>
        <w:rPr>
          <w:spacing w:val="-4"/>
        </w:rPr>
        <w:t xml:space="preserve"> </w:t>
      </w:r>
      <w:r>
        <w:t>is</w:t>
      </w:r>
      <w:r>
        <w:rPr>
          <w:spacing w:val="-4"/>
        </w:rPr>
        <w:t xml:space="preserve"> </w:t>
      </w:r>
      <w:r>
        <w:t>development</w:t>
      </w:r>
      <w:r>
        <w:rPr>
          <w:spacing w:val="-4"/>
        </w:rPr>
        <w:t xml:space="preserve"> </w:t>
      </w:r>
      <w:r>
        <w:t>that</w:t>
      </w:r>
      <w:r>
        <w:rPr>
          <w:spacing w:val="-4"/>
        </w:rPr>
        <w:t xml:space="preserve"> </w:t>
      </w:r>
      <w:r>
        <w:t>is</w:t>
      </w:r>
      <w:r>
        <w:rPr>
          <w:spacing w:val="-4"/>
        </w:rPr>
        <w:t xml:space="preserve"> </w:t>
      </w:r>
      <w:r>
        <w:t>permitted</w:t>
      </w:r>
      <w:r>
        <w:rPr>
          <w:spacing w:val="-4"/>
        </w:rPr>
        <w:t xml:space="preserve"> </w:t>
      </w:r>
      <w:r>
        <w:t>to proceed under the applicable land use law without any discretionary approval by land use authorities. Local zoning ordinances typically identify specific land uses that are permitted</w:t>
      </w:r>
    </w:p>
    <w:p w14:paraId="39EDABD5" w14:textId="77777777" w:rsidR="00D650AF" w:rsidRDefault="00000000">
      <w:pPr>
        <w:pStyle w:val="BodyText"/>
        <w:spacing w:line="276" w:lineRule="auto"/>
        <w:ind w:left="100" w:right="174"/>
      </w:pPr>
      <w:r>
        <w:t>as-of-right in specified areas. While as-of-right zoning may be appropriate for innocuous land uses, it has historically allowed harmful facilities to be located in environmental justice areas without meaningful oversight from local authorities or impacted communities. By eliminating the as-of-right zoning status of polluting facilities in environmental justice areas, this bill establishes an important check on the proliferation of polluting facilities and infrastructure in areas</w:t>
      </w:r>
      <w:r>
        <w:rPr>
          <w:spacing w:val="-4"/>
        </w:rPr>
        <w:t xml:space="preserve"> </w:t>
      </w:r>
      <w:r>
        <w:t>that</w:t>
      </w:r>
      <w:r>
        <w:rPr>
          <w:spacing w:val="-4"/>
        </w:rPr>
        <w:t xml:space="preserve"> </w:t>
      </w:r>
      <w:r>
        <w:t>are</w:t>
      </w:r>
      <w:r>
        <w:rPr>
          <w:spacing w:val="-4"/>
        </w:rPr>
        <w:t xml:space="preserve"> </w:t>
      </w:r>
      <w:r>
        <w:t>disproportionately</w:t>
      </w:r>
      <w:r>
        <w:rPr>
          <w:spacing w:val="-4"/>
        </w:rPr>
        <w:t xml:space="preserve"> </w:t>
      </w:r>
      <w:r>
        <w:t>burdened</w:t>
      </w:r>
      <w:r>
        <w:rPr>
          <w:spacing w:val="-4"/>
        </w:rPr>
        <w:t xml:space="preserve"> </w:t>
      </w:r>
      <w:r>
        <w:t>by</w:t>
      </w:r>
      <w:r>
        <w:rPr>
          <w:spacing w:val="-4"/>
        </w:rPr>
        <w:t xml:space="preserve"> </w:t>
      </w:r>
      <w:r>
        <w:t>significant</w:t>
      </w:r>
      <w:r>
        <w:rPr>
          <w:spacing w:val="-4"/>
        </w:rPr>
        <w:t xml:space="preserve"> </w:t>
      </w:r>
      <w:r>
        <w:t>environmental</w:t>
      </w:r>
      <w:r>
        <w:rPr>
          <w:spacing w:val="-4"/>
        </w:rPr>
        <w:t xml:space="preserve"> </w:t>
      </w:r>
      <w:r>
        <w:t>stressors</w:t>
      </w:r>
      <w:r>
        <w:rPr>
          <w:spacing w:val="-4"/>
        </w:rPr>
        <w:t xml:space="preserve"> </w:t>
      </w:r>
      <w:r>
        <w:t>and</w:t>
      </w:r>
      <w:r>
        <w:rPr>
          <w:spacing w:val="-4"/>
        </w:rPr>
        <w:t xml:space="preserve"> </w:t>
      </w:r>
      <w:r>
        <w:t>associated health impacts.</w:t>
      </w:r>
    </w:p>
    <w:p w14:paraId="6DE5E557" w14:textId="77777777" w:rsidR="00D650AF" w:rsidRDefault="00D650AF">
      <w:pPr>
        <w:pStyle w:val="BodyText"/>
        <w:spacing w:before="6"/>
        <w:rPr>
          <w:sz w:val="27"/>
        </w:rPr>
      </w:pPr>
    </w:p>
    <w:p w14:paraId="279C2814" w14:textId="77777777" w:rsidR="00D650AF" w:rsidRDefault="00000000">
      <w:pPr>
        <w:pStyle w:val="Heading1"/>
        <w:spacing w:before="1"/>
        <w:ind w:left="3743" w:firstLine="0"/>
      </w:pPr>
      <w:r>
        <w:t xml:space="preserve">Functions of the </w:t>
      </w:r>
      <w:r>
        <w:rPr>
          <w:spacing w:val="-4"/>
        </w:rPr>
        <w:t>Bill</w:t>
      </w:r>
    </w:p>
    <w:p w14:paraId="2CBA4947" w14:textId="77777777" w:rsidR="00D650AF" w:rsidRDefault="00000000">
      <w:pPr>
        <w:pStyle w:val="BodyText"/>
        <w:spacing w:before="41" w:line="276" w:lineRule="auto"/>
        <w:ind w:left="100" w:firstLine="720"/>
      </w:pPr>
      <w:r>
        <w:t>This</w:t>
      </w:r>
      <w:r>
        <w:rPr>
          <w:spacing w:val="-3"/>
        </w:rPr>
        <w:t xml:space="preserve"> </w:t>
      </w:r>
      <w:r>
        <w:t>bill</w:t>
      </w:r>
      <w:r>
        <w:rPr>
          <w:spacing w:val="-3"/>
        </w:rPr>
        <w:t xml:space="preserve"> </w:t>
      </w:r>
      <w:r>
        <w:t>overrides</w:t>
      </w:r>
      <w:r>
        <w:rPr>
          <w:spacing w:val="-3"/>
        </w:rPr>
        <w:t xml:space="preserve"> </w:t>
      </w:r>
      <w:r>
        <w:t>local</w:t>
      </w:r>
      <w:r>
        <w:rPr>
          <w:spacing w:val="-3"/>
        </w:rPr>
        <w:t xml:space="preserve"> </w:t>
      </w:r>
      <w:r>
        <w:t>land</w:t>
      </w:r>
      <w:r>
        <w:rPr>
          <w:spacing w:val="-3"/>
        </w:rPr>
        <w:t xml:space="preserve"> </w:t>
      </w:r>
      <w:r>
        <w:t>use</w:t>
      </w:r>
      <w:r>
        <w:rPr>
          <w:spacing w:val="-3"/>
        </w:rPr>
        <w:t xml:space="preserve"> </w:t>
      </w:r>
      <w:r>
        <w:t>laws</w:t>
      </w:r>
      <w:r>
        <w:rPr>
          <w:spacing w:val="-3"/>
        </w:rPr>
        <w:t xml:space="preserve"> </w:t>
      </w:r>
      <w:r>
        <w:t>to</w:t>
      </w:r>
      <w:r>
        <w:rPr>
          <w:spacing w:val="-3"/>
        </w:rPr>
        <w:t xml:space="preserve"> </w:t>
      </w:r>
      <w:r>
        <w:t>require</w:t>
      </w:r>
      <w:r>
        <w:rPr>
          <w:spacing w:val="-3"/>
        </w:rPr>
        <w:t xml:space="preserve"> </w:t>
      </w:r>
      <w:r>
        <w:t>that</w:t>
      </w:r>
      <w:r>
        <w:rPr>
          <w:spacing w:val="-3"/>
        </w:rPr>
        <w:t xml:space="preserve"> </w:t>
      </w:r>
      <w:r>
        <w:t>the</w:t>
      </w:r>
      <w:r>
        <w:rPr>
          <w:spacing w:val="-3"/>
        </w:rPr>
        <w:t xml:space="preserve"> </w:t>
      </w:r>
      <w:r>
        <w:t>relevant</w:t>
      </w:r>
      <w:r>
        <w:rPr>
          <w:spacing w:val="-3"/>
        </w:rPr>
        <w:t xml:space="preserve"> </w:t>
      </w:r>
      <w:r>
        <w:t>government</w:t>
      </w:r>
      <w:r>
        <w:rPr>
          <w:spacing w:val="-3"/>
        </w:rPr>
        <w:t xml:space="preserve"> </w:t>
      </w:r>
      <w:r>
        <w:t>agency consider the impact of a proposed land use on environmental justice communities before permitting development to move forward.</w:t>
      </w:r>
      <w:r>
        <w:rPr>
          <w:vertAlign w:val="superscript"/>
        </w:rPr>
        <w:t>11</w:t>
      </w:r>
      <w:r>
        <w:t xml:space="preserve"> The bill identifies proposed land uses that may</w:t>
      </w:r>
    </w:p>
    <w:p w14:paraId="019A039C" w14:textId="77777777" w:rsidR="00D650AF" w:rsidRDefault="00000000">
      <w:pPr>
        <w:pStyle w:val="BodyText"/>
        <w:spacing w:before="5"/>
        <w:rPr>
          <w:sz w:val="6"/>
        </w:rPr>
      </w:pPr>
      <w:r>
        <w:rPr>
          <w:noProof/>
        </w:rPr>
        <mc:AlternateContent>
          <mc:Choice Requires="wps">
            <w:drawing>
              <wp:anchor distT="0" distB="0" distL="0" distR="0" simplePos="0" relativeHeight="487588352" behindDoc="1" locked="0" layoutInCell="1" allowOverlap="1" wp14:anchorId="52D402E2" wp14:editId="2A7F832D">
                <wp:simplePos x="0" y="0"/>
                <wp:positionH relativeFrom="page">
                  <wp:posOffset>914400</wp:posOffset>
                </wp:positionH>
                <wp:positionV relativeFrom="paragraph">
                  <wp:posOffset>62528</wp:posOffset>
                </wp:positionV>
                <wp:extent cx="1828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8453C8" id="Graphic 2" o:spid="_x0000_s1026" style="position:absolute;margin-left:1in;margin-top:4.9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" path="m,l1828800,e" filled="f">
                <v:path arrowok="t"/>
                <w10:wrap type="topAndBottom" anchorx="page"/>
              </v:shape>
            </w:pict>
          </mc:Fallback>
        </mc:AlternateContent>
      </w:r>
    </w:p>
    <w:p w14:paraId="0C8930D8" w14:textId="77777777" w:rsidR="00D650AF" w:rsidRDefault="00000000">
      <w:pPr>
        <w:spacing w:before="112"/>
        <w:ind w:left="100"/>
      </w:pPr>
      <w:r>
        <w:rPr>
          <w:vertAlign w:val="superscript"/>
        </w:rPr>
        <w:t>8</w:t>
      </w:r>
      <w:r>
        <w:rPr>
          <w:spacing w:val="-7"/>
        </w:rPr>
        <w:t xml:space="preserve"> </w:t>
      </w:r>
      <w:r>
        <w:t>Equitable</w:t>
      </w:r>
      <w:r>
        <w:rPr>
          <w:spacing w:val="-7"/>
        </w:rPr>
        <w:t xml:space="preserve"> </w:t>
      </w:r>
      <w:r>
        <w:t>and</w:t>
      </w:r>
      <w:r>
        <w:rPr>
          <w:spacing w:val="-7"/>
        </w:rPr>
        <w:t xml:space="preserve"> </w:t>
      </w:r>
      <w:r>
        <w:t>Just</w:t>
      </w:r>
      <w:r>
        <w:rPr>
          <w:spacing w:val="-6"/>
        </w:rPr>
        <w:t xml:space="preserve"> </w:t>
      </w:r>
      <w:r>
        <w:t>National</w:t>
      </w:r>
      <w:r>
        <w:rPr>
          <w:spacing w:val="-7"/>
        </w:rPr>
        <w:t xml:space="preserve"> </w:t>
      </w:r>
      <w:r>
        <w:t>Climate</w:t>
      </w:r>
      <w:r>
        <w:rPr>
          <w:spacing w:val="-7"/>
        </w:rPr>
        <w:t xml:space="preserve"> </w:t>
      </w:r>
      <w:r>
        <w:t>Platform,</w:t>
      </w:r>
      <w:r>
        <w:rPr>
          <w:spacing w:val="-6"/>
        </w:rPr>
        <w:t xml:space="preserve"> </w:t>
      </w:r>
      <w:r>
        <w:t>September</w:t>
      </w:r>
      <w:r>
        <w:rPr>
          <w:spacing w:val="-7"/>
        </w:rPr>
        <w:t xml:space="preserve"> </w:t>
      </w:r>
      <w:r>
        <w:rPr>
          <w:spacing w:val="-2"/>
        </w:rPr>
        <w:t>2021,</w:t>
      </w:r>
    </w:p>
    <w:p w14:paraId="062398A7" w14:textId="77777777" w:rsidR="00D650AF" w:rsidRDefault="00000000">
      <w:pPr>
        <w:ind w:left="100" w:right="224"/>
      </w:pPr>
      <w:r>
        <w:rPr>
          <w:spacing w:val="-2"/>
        </w:rPr>
        <w:t>https://</w:t>
      </w:r>
      <w:hyperlink r:id="rId8">
        <w:r>
          <w:rPr>
            <w:spacing w:val="-2"/>
          </w:rPr>
          <w:t>www.weact.org/wp-content/uploads/2023/05/Defining-EJ-Community-for-Mandatory-Emissions-</w:t>
        </w:r>
      </w:hyperlink>
      <w:r>
        <w:rPr>
          <w:spacing w:val="-2"/>
        </w:rPr>
        <w:t xml:space="preserve"> Reduction-Policy.pdf.</w:t>
      </w:r>
    </w:p>
    <w:p w14:paraId="1EA3F6E7" w14:textId="77777777" w:rsidR="00D650AF" w:rsidRDefault="00000000">
      <w:pPr>
        <w:ind w:left="100"/>
      </w:pPr>
      <w:r>
        <w:rPr>
          <w:vertAlign w:val="superscript"/>
        </w:rPr>
        <w:t>9</w:t>
      </w:r>
      <w:r>
        <w:rPr>
          <w:spacing w:val="-6"/>
        </w:rPr>
        <w:t xml:space="preserve"> </w:t>
      </w:r>
      <w:r>
        <w:t>Morello-Frosch</w:t>
      </w:r>
      <w:r>
        <w:rPr>
          <w:spacing w:val="-5"/>
        </w:rPr>
        <w:t xml:space="preserve"> </w:t>
      </w:r>
      <w:r>
        <w:t>et</w:t>
      </w:r>
      <w:r>
        <w:rPr>
          <w:spacing w:val="-6"/>
        </w:rPr>
        <w:t xml:space="preserve"> </w:t>
      </w:r>
      <w:r>
        <w:t>al.,</w:t>
      </w:r>
      <w:r>
        <w:rPr>
          <w:spacing w:val="-5"/>
        </w:rPr>
        <w:t xml:space="preserve"> </w:t>
      </w:r>
      <w:r>
        <w:t>supra,</w:t>
      </w:r>
      <w:r>
        <w:rPr>
          <w:spacing w:val="-6"/>
        </w:rPr>
        <w:t xml:space="preserve"> </w:t>
      </w:r>
      <w:r>
        <w:t>at</w:t>
      </w:r>
      <w:r>
        <w:rPr>
          <w:spacing w:val="-5"/>
        </w:rPr>
        <w:t xml:space="preserve"> </w:t>
      </w:r>
      <w:r>
        <w:rPr>
          <w:spacing w:val="-4"/>
        </w:rPr>
        <w:t>882.</w:t>
      </w:r>
    </w:p>
    <w:p w14:paraId="1343CEE7" w14:textId="77777777" w:rsidR="00D650AF" w:rsidRDefault="00000000">
      <w:pPr>
        <w:ind w:left="100"/>
      </w:pPr>
      <w:r>
        <w:rPr>
          <w:rFonts w:ascii="Arial" w:hAnsi="Arial"/>
          <w:position w:val="8"/>
          <w:sz w:val="12"/>
        </w:rPr>
        <w:t>10</w:t>
      </w:r>
      <w:r>
        <w:rPr>
          <w:rFonts w:ascii="Arial" w:hAnsi="Arial"/>
          <w:spacing w:val="10"/>
          <w:position w:val="8"/>
          <w:sz w:val="12"/>
        </w:rPr>
        <w:t xml:space="preserve"> </w:t>
      </w:r>
      <w:r>
        <w:t>U.S.</w:t>
      </w:r>
      <w:r>
        <w:rPr>
          <w:spacing w:val="-12"/>
        </w:rPr>
        <w:t xml:space="preserve"> </w:t>
      </w:r>
      <w:r>
        <w:t>Environmental</w:t>
      </w:r>
      <w:r>
        <w:rPr>
          <w:spacing w:val="-12"/>
        </w:rPr>
        <w:t xml:space="preserve"> </w:t>
      </w:r>
      <w:r>
        <w:t>Protection</w:t>
      </w:r>
      <w:r>
        <w:rPr>
          <w:spacing w:val="-12"/>
        </w:rPr>
        <w:t xml:space="preserve"> </w:t>
      </w:r>
      <w:r>
        <w:t>Agency,</w:t>
      </w:r>
      <w:r>
        <w:rPr>
          <w:spacing w:val="-12"/>
        </w:rPr>
        <w:t xml:space="preserve"> </w:t>
      </w:r>
      <w:r>
        <w:t>Cumulative</w:t>
      </w:r>
      <w:r>
        <w:rPr>
          <w:spacing w:val="-12"/>
        </w:rPr>
        <w:t xml:space="preserve"> </w:t>
      </w:r>
      <w:r>
        <w:t>Impacts</w:t>
      </w:r>
      <w:r>
        <w:rPr>
          <w:spacing w:val="-12"/>
        </w:rPr>
        <w:t xml:space="preserve"> </w:t>
      </w:r>
      <w:r>
        <w:t>Research:</w:t>
      </w:r>
      <w:r>
        <w:rPr>
          <w:spacing w:val="-12"/>
        </w:rPr>
        <w:t xml:space="preserve"> </w:t>
      </w:r>
      <w:r>
        <w:t>Recommendations</w:t>
      </w:r>
      <w:r>
        <w:rPr>
          <w:spacing w:val="-12"/>
        </w:rPr>
        <w:t xml:space="preserve"> </w:t>
      </w:r>
      <w:r>
        <w:t>for</w:t>
      </w:r>
      <w:r>
        <w:rPr>
          <w:spacing w:val="-12"/>
        </w:rPr>
        <w:t xml:space="preserve"> </w:t>
      </w:r>
      <w:r>
        <w:t>EPA’s Office of Research and Development 2 (2022),</w:t>
      </w:r>
    </w:p>
    <w:p w14:paraId="2B6540FC" w14:textId="77777777" w:rsidR="00D650AF" w:rsidRDefault="00000000">
      <w:pPr>
        <w:ind w:left="100" w:right="160"/>
      </w:pPr>
      <w:r>
        <w:rPr>
          <w:spacing w:val="-2"/>
        </w:rPr>
        <w:t>https://</w:t>
      </w:r>
      <w:hyperlink r:id="rId9">
        <w:r>
          <w:rPr>
            <w:spacing w:val="-2"/>
          </w:rPr>
          <w:t>www.epa.gov/system/files/documents/2022-09/Cumulative%20Impacts%20Research%20Final%2</w:t>
        </w:r>
      </w:hyperlink>
      <w:r>
        <w:rPr>
          <w:spacing w:val="-2"/>
        </w:rPr>
        <w:t xml:space="preserve"> </w:t>
      </w:r>
      <w:r>
        <w:t>0Report_FINAL-EPA%20600-R-22-014a.pdf (“Solving longstanding, recalcitrant environmental health problems,</w:t>
      </w:r>
      <w:r>
        <w:rPr>
          <w:spacing w:val="-4"/>
        </w:rPr>
        <w:t xml:space="preserve"> </w:t>
      </w:r>
      <w:r>
        <w:t>including</w:t>
      </w:r>
      <w:r>
        <w:rPr>
          <w:spacing w:val="-4"/>
        </w:rPr>
        <w:t xml:space="preserve"> </w:t>
      </w:r>
      <w:r>
        <w:t>health</w:t>
      </w:r>
      <w:r>
        <w:rPr>
          <w:spacing w:val="-4"/>
        </w:rPr>
        <w:t xml:space="preserve"> </w:t>
      </w:r>
      <w:r>
        <w:t>disparities</w:t>
      </w:r>
      <w:r>
        <w:rPr>
          <w:spacing w:val="-4"/>
        </w:rPr>
        <w:t xml:space="preserve"> </w:t>
      </w:r>
      <w:r>
        <w:t>exacerbated</w:t>
      </w:r>
      <w:r>
        <w:rPr>
          <w:spacing w:val="-4"/>
        </w:rPr>
        <w:t xml:space="preserve"> </w:t>
      </w:r>
      <w:r>
        <w:t>by</w:t>
      </w:r>
      <w:r>
        <w:rPr>
          <w:spacing w:val="-4"/>
        </w:rPr>
        <w:t xml:space="preserve"> </w:t>
      </w:r>
      <w:r>
        <w:t>racial</w:t>
      </w:r>
      <w:r>
        <w:rPr>
          <w:spacing w:val="-4"/>
        </w:rPr>
        <w:t xml:space="preserve"> </w:t>
      </w:r>
      <w:r>
        <w:t>and</w:t>
      </w:r>
      <w:r>
        <w:rPr>
          <w:spacing w:val="-4"/>
        </w:rPr>
        <w:t xml:space="preserve"> </w:t>
      </w:r>
      <w:r>
        <w:t>social</w:t>
      </w:r>
      <w:r>
        <w:rPr>
          <w:spacing w:val="-4"/>
        </w:rPr>
        <w:t xml:space="preserve"> </w:t>
      </w:r>
      <w:r>
        <w:t>injustices,</w:t>
      </w:r>
      <w:r>
        <w:rPr>
          <w:spacing w:val="-4"/>
        </w:rPr>
        <w:t xml:space="preserve"> </w:t>
      </w:r>
      <w:r>
        <w:t>requires</w:t>
      </w:r>
      <w:r>
        <w:rPr>
          <w:spacing w:val="-4"/>
        </w:rPr>
        <w:t xml:space="preserve"> </w:t>
      </w:r>
      <w:r>
        <w:t>an</w:t>
      </w:r>
      <w:r>
        <w:rPr>
          <w:spacing w:val="-4"/>
        </w:rPr>
        <w:t xml:space="preserve"> </w:t>
      </w:r>
      <w:r>
        <w:t>accurate</w:t>
      </w:r>
      <w:r>
        <w:rPr>
          <w:spacing w:val="-4"/>
        </w:rPr>
        <w:t xml:space="preserve"> </w:t>
      </w:r>
      <w:r>
        <w:t xml:space="preserve">and realistic assessment of the effects from the combined exposures to chemical and non-chemical stressors (i.e., cumulative impacts) that inform decision-making at all levels.”); Amy J. Dunn &amp; George V. </w:t>
      </w:r>
      <w:proofErr w:type="spellStart"/>
      <w:r>
        <w:t>Alexeeff</w:t>
      </w:r>
      <w:proofErr w:type="spellEnd"/>
      <w:r>
        <w:t>, Beyond Risk Assessment: Principles for Assessing Community Impacts, Int. J. Toxicology</w:t>
      </w:r>
    </w:p>
    <w:p w14:paraId="667AC332" w14:textId="77777777" w:rsidR="00D650AF" w:rsidRDefault="00000000">
      <w:pPr>
        <w:ind w:left="100"/>
      </w:pPr>
      <w:r>
        <w:t>78-87</w:t>
      </w:r>
      <w:r>
        <w:rPr>
          <w:spacing w:val="-9"/>
        </w:rPr>
        <w:t xml:space="preserve"> </w:t>
      </w:r>
      <w:r>
        <w:t>(Jan.-Feb.</w:t>
      </w:r>
      <w:r>
        <w:rPr>
          <w:spacing w:val="-7"/>
        </w:rPr>
        <w:t xml:space="preserve"> </w:t>
      </w:r>
      <w:r>
        <w:t>2010),</w:t>
      </w:r>
      <w:r>
        <w:rPr>
          <w:spacing w:val="-7"/>
        </w:rPr>
        <w:t xml:space="preserve"> </w:t>
      </w:r>
      <w:r>
        <w:rPr>
          <w:spacing w:val="-2"/>
        </w:rPr>
        <w:t>https://pubmed.ncbi.nlm.nih.gov/19959838/.</w:t>
      </w:r>
    </w:p>
    <w:p w14:paraId="0E9F4DD7" w14:textId="77777777" w:rsidR="00D650AF" w:rsidRDefault="00000000">
      <w:pPr>
        <w:ind w:left="100" w:right="139"/>
      </w:pPr>
      <w:r>
        <w:rPr>
          <w:rFonts w:ascii="Arial" w:hAnsi="Arial"/>
          <w:vertAlign w:val="superscript"/>
        </w:rPr>
        <w:t>11</w:t>
      </w:r>
      <w:r>
        <w:rPr>
          <w:rFonts w:ascii="Arial" w:hAnsi="Arial"/>
        </w:rPr>
        <w:t xml:space="preserve"> </w:t>
      </w:r>
      <w:r>
        <w:t>Traditionally, local governments have exercised broad authority over land use, which has been delegated</w:t>
      </w:r>
      <w:r>
        <w:rPr>
          <w:spacing w:val="-4"/>
        </w:rPr>
        <w:t xml:space="preserve"> </w:t>
      </w:r>
      <w:r>
        <w:t>from</w:t>
      </w:r>
      <w:r>
        <w:rPr>
          <w:spacing w:val="-4"/>
        </w:rPr>
        <w:t xml:space="preserve"> </w:t>
      </w:r>
      <w:r>
        <w:t>the</w:t>
      </w:r>
      <w:r>
        <w:rPr>
          <w:spacing w:val="-4"/>
        </w:rPr>
        <w:t xml:space="preserve"> </w:t>
      </w:r>
      <w:r>
        <w:t>states.</w:t>
      </w:r>
      <w:r>
        <w:rPr>
          <w:spacing w:val="-4"/>
        </w:rPr>
        <w:t xml:space="preserve"> </w:t>
      </w:r>
      <w:r>
        <w:t>Because</w:t>
      </w:r>
      <w:r>
        <w:rPr>
          <w:spacing w:val="-4"/>
        </w:rPr>
        <w:t xml:space="preserve"> </w:t>
      </w:r>
      <w:r>
        <w:t>this</w:t>
      </w:r>
      <w:r>
        <w:rPr>
          <w:spacing w:val="-4"/>
        </w:rPr>
        <w:t xml:space="preserve"> </w:t>
      </w:r>
      <w:r>
        <w:t>authority</w:t>
      </w:r>
      <w:r>
        <w:rPr>
          <w:spacing w:val="-4"/>
        </w:rPr>
        <w:t xml:space="preserve"> </w:t>
      </w:r>
      <w:r>
        <w:t>originates</w:t>
      </w:r>
      <w:r>
        <w:rPr>
          <w:spacing w:val="-4"/>
        </w:rPr>
        <w:t xml:space="preserve"> </w:t>
      </w:r>
      <w:r>
        <w:t>in</w:t>
      </w:r>
      <w:r>
        <w:rPr>
          <w:spacing w:val="-4"/>
        </w:rPr>
        <w:t xml:space="preserve"> </w:t>
      </w:r>
      <w:r>
        <w:t>state</w:t>
      </w:r>
      <w:r>
        <w:rPr>
          <w:spacing w:val="-4"/>
        </w:rPr>
        <w:t xml:space="preserve"> </w:t>
      </w:r>
      <w:r>
        <w:t>law,</w:t>
      </w:r>
      <w:r>
        <w:rPr>
          <w:spacing w:val="-4"/>
        </w:rPr>
        <w:t xml:space="preserve"> </w:t>
      </w:r>
      <w:r>
        <w:t>statewide</w:t>
      </w:r>
      <w:r>
        <w:rPr>
          <w:spacing w:val="-4"/>
        </w:rPr>
        <w:t xml:space="preserve"> </w:t>
      </w:r>
      <w:r>
        <w:t>changes</w:t>
      </w:r>
      <w:r>
        <w:rPr>
          <w:spacing w:val="-4"/>
        </w:rPr>
        <w:t xml:space="preserve"> </w:t>
      </w:r>
      <w:r>
        <w:t>to</w:t>
      </w:r>
      <w:r>
        <w:rPr>
          <w:spacing w:val="-4"/>
        </w:rPr>
        <w:t xml:space="preserve"> </w:t>
      </w:r>
      <w:r>
        <w:t>local</w:t>
      </w:r>
      <w:r>
        <w:rPr>
          <w:spacing w:val="-4"/>
        </w:rPr>
        <w:t xml:space="preserve"> </w:t>
      </w:r>
      <w:r>
        <w:t>zoning policy</w:t>
      </w:r>
      <w:r>
        <w:rPr>
          <w:spacing w:val="-2"/>
        </w:rPr>
        <w:t xml:space="preserve"> </w:t>
      </w:r>
      <w:r>
        <w:t>can</w:t>
      </w:r>
      <w:r>
        <w:rPr>
          <w:spacing w:val="-2"/>
        </w:rPr>
        <w:t xml:space="preserve"> </w:t>
      </w:r>
      <w:r>
        <w:t>be</w:t>
      </w:r>
      <w:r>
        <w:rPr>
          <w:spacing w:val="-2"/>
        </w:rPr>
        <w:t xml:space="preserve"> </w:t>
      </w:r>
      <w:r>
        <w:t>accomplished</w:t>
      </w:r>
      <w:r>
        <w:rPr>
          <w:spacing w:val="-2"/>
        </w:rPr>
        <w:t xml:space="preserve"> </w:t>
      </w:r>
      <w:r>
        <w:t>through</w:t>
      </w:r>
      <w:r>
        <w:rPr>
          <w:spacing w:val="-2"/>
        </w:rPr>
        <w:t xml:space="preserve"> </w:t>
      </w:r>
      <w:r>
        <w:t>state-level</w:t>
      </w:r>
      <w:r>
        <w:rPr>
          <w:spacing w:val="-2"/>
        </w:rPr>
        <w:t xml:space="preserve"> </w:t>
      </w:r>
      <w:r>
        <w:t>legislation</w:t>
      </w:r>
      <w:r>
        <w:rPr>
          <w:spacing w:val="-2"/>
        </w:rPr>
        <w:t xml:space="preserve"> </w:t>
      </w:r>
      <w:r>
        <w:t>preempting</w:t>
      </w:r>
      <w:r>
        <w:rPr>
          <w:spacing w:val="-2"/>
        </w:rPr>
        <w:t xml:space="preserve"> </w:t>
      </w:r>
      <w:r>
        <w:t>local</w:t>
      </w:r>
      <w:r>
        <w:rPr>
          <w:spacing w:val="-2"/>
        </w:rPr>
        <w:t xml:space="preserve"> </w:t>
      </w:r>
      <w:r>
        <w:t>authority</w:t>
      </w:r>
      <w:r>
        <w:rPr>
          <w:spacing w:val="-2"/>
        </w:rPr>
        <w:t xml:space="preserve"> </w:t>
      </w:r>
      <w:r>
        <w:t>over</w:t>
      </w:r>
      <w:r>
        <w:rPr>
          <w:spacing w:val="-2"/>
        </w:rPr>
        <w:t xml:space="preserve"> </w:t>
      </w:r>
      <w:r>
        <w:t>a</w:t>
      </w:r>
      <w:r>
        <w:rPr>
          <w:spacing w:val="-2"/>
        </w:rPr>
        <w:t xml:space="preserve"> </w:t>
      </w:r>
      <w:r>
        <w:t>specific</w:t>
      </w:r>
      <w:r>
        <w:rPr>
          <w:spacing w:val="-2"/>
        </w:rPr>
        <w:t xml:space="preserve"> </w:t>
      </w:r>
      <w:r>
        <w:t xml:space="preserve">land use subject—in this case, polluting land uses located in or adjacent to designated environmental justice areas. State Preemption of Local Zoning Laws as Intersectional Climate Policy, 135 Harv. L. Rev. 1592 </w:t>
      </w:r>
      <w:r>
        <w:rPr>
          <w:spacing w:val="-2"/>
        </w:rPr>
        <w:t>(2022).</w:t>
      </w:r>
    </w:p>
    <w:p w14:paraId="1079E5DC" w14:textId="77777777" w:rsidR="00D650AF" w:rsidRDefault="00D650AF">
      <w:pPr>
        <w:sectPr w:rsidR="00D650AF">
          <w:pgSz w:w="12240" w:h="15840"/>
          <w:pgMar w:top="1360" w:right="1340" w:bottom="280" w:left="1340" w:header="720" w:footer="720" w:gutter="0"/>
          <w:cols w:space="720"/>
        </w:sectPr>
      </w:pPr>
    </w:p>
    <w:p w14:paraId="2F73D79B" w14:textId="77777777" w:rsidR="00D650AF" w:rsidRDefault="00000000">
      <w:pPr>
        <w:pStyle w:val="BodyText"/>
        <w:spacing w:before="60" w:line="276" w:lineRule="auto"/>
        <w:ind w:left="100" w:right="626"/>
        <w:jc w:val="both"/>
      </w:pPr>
      <w:r>
        <w:lastRenderedPageBreak/>
        <w:t xml:space="preserve">contribute to the disproportionate environmental burden borne by these communities and eliminates any existing as-of-right zoning status for these land uses. Rather than </w:t>
      </w:r>
      <w:r>
        <w:rPr>
          <w:spacing w:val="-2"/>
        </w:rPr>
        <w:t>eliminating</w:t>
      </w:r>
    </w:p>
    <w:p w14:paraId="0A230F02" w14:textId="77777777" w:rsidR="00D650AF" w:rsidRDefault="00000000">
      <w:pPr>
        <w:pStyle w:val="BodyText"/>
        <w:spacing w:line="276" w:lineRule="auto"/>
        <w:ind w:left="100" w:right="176"/>
        <w:jc w:val="both"/>
      </w:pPr>
      <w:r>
        <w:t>as-of-right</w:t>
      </w:r>
      <w:r>
        <w:rPr>
          <w:spacing w:val="-5"/>
        </w:rPr>
        <w:t xml:space="preserve"> </w:t>
      </w:r>
      <w:r>
        <w:t>zoning</w:t>
      </w:r>
      <w:r>
        <w:rPr>
          <w:spacing w:val="-5"/>
        </w:rPr>
        <w:t xml:space="preserve"> </w:t>
      </w:r>
      <w:r>
        <w:t>entirely,</w:t>
      </w:r>
      <w:r>
        <w:rPr>
          <w:spacing w:val="-5"/>
        </w:rPr>
        <w:t xml:space="preserve"> </w:t>
      </w:r>
      <w:r>
        <w:t>which</w:t>
      </w:r>
      <w:r>
        <w:rPr>
          <w:spacing w:val="-5"/>
        </w:rPr>
        <w:t xml:space="preserve"> </w:t>
      </w:r>
      <w:r>
        <w:t>would</w:t>
      </w:r>
      <w:r>
        <w:rPr>
          <w:spacing w:val="-5"/>
        </w:rPr>
        <w:t xml:space="preserve"> </w:t>
      </w:r>
      <w:r>
        <w:t>create</w:t>
      </w:r>
      <w:r>
        <w:rPr>
          <w:spacing w:val="-5"/>
        </w:rPr>
        <w:t xml:space="preserve"> </w:t>
      </w:r>
      <w:r>
        <w:t>an</w:t>
      </w:r>
      <w:r>
        <w:rPr>
          <w:spacing w:val="-5"/>
        </w:rPr>
        <w:t xml:space="preserve"> </w:t>
      </w:r>
      <w:r>
        <w:t>infeasible</w:t>
      </w:r>
      <w:r>
        <w:rPr>
          <w:spacing w:val="-5"/>
        </w:rPr>
        <w:t xml:space="preserve"> </w:t>
      </w:r>
      <w:r>
        <w:t>administrative</w:t>
      </w:r>
      <w:r>
        <w:rPr>
          <w:spacing w:val="-5"/>
        </w:rPr>
        <w:t xml:space="preserve"> </w:t>
      </w:r>
      <w:r>
        <w:t>burden</w:t>
      </w:r>
      <w:r>
        <w:rPr>
          <w:spacing w:val="-5"/>
        </w:rPr>
        <w:t xml:space="preserve"> </w:t>
      </w:r>
      <w:r>
        <w:t>for</w:t>
      </w:r>
      <w:r>
        <w:rPr>
          <w:spacing w:val="-5"/>
        </w:rPr>
        <w:t xml:space="preserve"> </w:t>
      </w:r>
      <w:r>
        <w:t>local</w:t>
      </w:r>
      <w:r>
        <w:rPr>
          <w:spacing w:val="-5"/>
        </w:rPr>
        <w:t xml:space="preserve"> </w:t>
      </w:r>
      <w:r>
        <w:t>land use</w:t>
      </w:r>
      <w:r>
        <w:rPr>
          <w:spacing w:val="-2"/>
        </w:rPr>
        <w:t xml:space="preserve"> </w:t>
      </w:r>
      <w:r>
        <w:t>authorities,</w:t>
      </w:r>
      <w:r>
        <w:rPr>
          <w:spacing w:val="-2"/>
        </w:rPr>
        <w:t xml:space="preserve"> </w:t>
      </w:r>
      <w:r>
        <w:t>this</w:t>
      </w:r>
      <w:r>
        <w:rPr>
          <w:spacing w:val="-2"/>
        </w:rPr>
        <w:t xml:space="preserve"> </w:t>
      </w:r>
      <w:r>
        <w:t>bill</w:t>
      </w:r>
      <w:r>
        <w:rPr>
          <w:spacing w:val="-2"/>
        </w:rPr>
        <w:t xml:space="preserve"> </w:t>
      </w:r>
      <w:r>
        <w:t>takes</w:t>
      </w:r>
      <w:r>
        <w:rPr>
          <w:spacing w:val="-2"/>
        </w:rPr>
        <w:t xml:space="preserve"> </w:t>
      </w:r>
      <w:r>
        <w:t>a</w:t>
      </w:r>
      <w:r>
        <w:rPr>
          <w:spacing w:val="-2"/>
        </w:rPr>
        <w:t xml:space="preserve"> </w:t>
      </w:r>
      <w:r>
        <w:t>targeted</w:t>
      </w:r>
      <w:r>
        <w:rPr>
          <w:spacing w:val="-2"/>
        </w:rPr>
        <w:t xml:space="preserve"> </w:t>
      </w:r>
      <w:r>
        <w:t>approach,</w:t>
      </w:r>
      <w:r>
        <w:rPr>
          <w:spacing w:val="-2"/>
        </w:rPr>
        <w:t xml:space="preserve"> </w:t>
      </w:r>
      <w:r>
        <w:t>eliminating</w:t>
      </w:r>
      <w:r>
        <w:rPr>
          <w:spacing w:val="-2"/>
        </w:rPr>
        <w:t xml:space="preserve"> </w:t>
      </w:r>
      <w:r>
        <w:t>as-of-right</w:t>
      </w:r>
      <w:r>
        <w:rPr>
          <w:spacing w:val="-2"/>
        </w:rPr>
        <w:t xml:space="preserve"> </w:t>
      </w:r>
      <w:r>
        <w:t>zoning</w:t>
      </w:r>
      <w:r>
        <w:rPr>
          <w:spacing w:val="-2"/>
        </w:rPr>
        <w:t xml:space="preserve"> </w:t>
      </w:r>
      <w:r>
        <w:t>for</w:t>
      </w:r>
      <w:r>
        <w:rPr>
          <w:spacing w:val="-2"/>
        </w:rPr>
        <w:t xml:space="preserve"> </w:t>
      </w:r>
      <w:r>
        <w:t>certain</w:t>
      </w:r>
      <w:r>
        <w:rPr>
          <w:spacing w:val="-2"/>
        </w:rPr>
        <w:t xml:space="preserve"> </w:t>
      </w:r>
      <w:r>
        <w:t>land uses in environmental justice areas.</w:t>
      </w:r>
    </w:p>
    <w:p w14:paraId="7E036DF4" w14:textId="77777777" w:rsidR="00D650AF" w:rsidRDefault="00000000">
      <w:pPr>
        <w:pStyle w:val="BodyText"/>
        <w:spacing w:line="276" w:lineRule="auto"/>
        <w:ind w:left="100" w:right="314" w:firstLine="720"/>
      </w:pPr>
      <w:r>
        <w:t>The model bill only applies to land uses that might contribute to environmental and public</w:t>
      </w:r>
      <w:r>
        <w:rPr>
          <w:spacing w:val="-1"/>
        </w:rPr>
        <w:t xml:space="preserve"> </w:t>
      </w:r>
      <w:r>
        <w:t>health</w:t>
      </w:r>
      <w:r>
        <w:rPr>
          <w:spacing w:val="-1"/>
        </w:rPr>
        <w:t xml:space="preserve"> </w:t>
      </w:r>
      <w:r>
        <w:t>burdens,</w:t>
      </w:r>
      <w:r>
        <w:rPr>
          <w:spacing w:val="-1"/>
        </w:rPr>
        <w:t xml:space="preserve"> </w:t>
      </w:r>
      <w:r>
        <w:t>with</w:t>
      </w:r>
      <w:r>
        <w:rPr>
          <w:spacing w:val="-1"/>
        </w:rPr>
        <w:t xml:space="preserve"> </w:t>
      </w:r>
      <w:r>
        <w:t>the</w:t>
      </w:r>
      <w:r>
        <w:rPr>
          <w:spacing w:val="-1"/>
        </w:rPr>
        <w:t xml:space="preserve"> </w:t>
      </w:r>
      <w:r>
        <w:t>exception</w:t>
      </w:r>
      <w:r>
        <w:rPr>
          <w:spacing w:val="-1"/>
        </w:rPr>
        <w:t xml:space="preserve"> </w:t>
      </w:r>
      <w:r>
        <w:t>of</w:t>
      </w:r>
      <w:r>
        <w:rPr>
          <w:spacing w:val="-1"/>
        </w:rPr>
        <w:t xml:space="preserve"> </w:t>
      </w:r>
      <w:r>
        <w:t>small-scale</w:t>
      </w:r>
      <w:r>
        <w:rPr>
          <w:spacing w:val="-1"/>
        </w:rPr>
        <w:t xml:space="preserve"> </w:t>
      </w:r>
      <w:r>
        <w:t>residential</w:t>
      </w:r>
      <w:r>
        <w:rPr>
          <w:spacing w:val="-1"/>
        </w:rPr>
        <w:t xml:space="preserve"> </w:t>
      </w:r>
      <w:r>
        <w:t>development</w:t>
      </w:r>
      <w:r>
        <w:rPr>
          <w:spacing w:val="-1"/>
        </w:rPr>
        <w:t xml:space="preserve"> </w:t>
      </w:r>
      <w:r>
        <w:t>to</w:t>
      </w:r>
      <w:r>
        <w:rPr>
          <w:spacing w:val="-1"/>
        </w:rPr>
        <w:t xml:space="preserve"> </w:t>
      </w:r>
      <w:r>
        <w:t>account</w:t>
      </w:r>
      <w:r>
        <w:rPr>
          <w:spacing w:val="-1"/>
        </w:rPr>
        <w:t xml:space="preserve"> </w:t>
      </w:r>
      <w:r>
        <w:t xml:space="preserve">for the need in many jurisdictions to be able to quickly develop new housing stock. Although small-scale residential development may have environmental impacts that would ordinarily </w:t>
      </w:r>
      <w:r>
        <w:rPr>
          <w:spacing w:val="-4"/>
        </w:rPr>
        <w:t>fall</w:t>
      </w:r>
    </w:p>
    <w:p w14:paraId="649E2C9D" w14:textId="77777777" w:rsidR="00D650AF" w:rsidRDefault="00000000">
      <w:pPr>
        <w:pStyle w:val="BodyText"/>
        <w:spacing w:line="276" w:lineRule="auto"/>
        <w:ind w:left="100" w:right="128"/>
      </w:pPr>
      <w:r>
        <w:t>under the scope of this law, the bill is not intended to stall much needed solutions to other crises that overburdened communities may be facing, like a shortage of affordable housing. While the bill</w:t>
      </w:r>
      <w:r>
        <w:rPr>
          <w:spacing w:val="-3"/>
        </w:rPr>
        <w:t xml:space="preserve"> </w:t>
      </w:r>
      <w:r>
        <w:t>defines</w:t>
      </w:r>
      <w:r>
        <w:rPr>
          <w:spacing w:val="-3"/>
        </w:rPr>
        <w:t xml:space="preserve"> </w:t>
      </w:r>
      <w:r>
        <w:t>the</w:t>
      </w:r>
      <w:r>
        <w:rPr>
          <w:spacing w:val="-3"/>
        </w:rPr>
        <w:t xml:space="preserve"> </w:t>
      </w:r>
      <w:r>
        <w:t>relevant</w:t>
      </w:r>
      <w:r>
        <w:rPr>
          <w:spacing w:val="-3"/>
        </w:rPr>
        <w:t xml:space="preserve"> </w:t>
      </w:r>
      <w:r>
        <w:t>category</w:t>
      </w:r>
      <w:r>
        <w:rPr>
          <w:spacing w:val="-3"/>
        </w:rPr>
        <w:t xml:space="preserve"> </w:t>
      </w:r>
      <w:r>
        <w:t>of</w:t>
      </w:r>
      <w:r>
        <w:rPr>
          <w:spacing w:val="-3"/>
        </w:rPr>
        <w:t xml:space="preserve"> </w:t>
      </w:r>
      <w:r>
        <w:t>environmental</w:t>
      </w:r>
      <w:r>
        <w:rPr>
          <w:spacing w:val="-3"/>
        </w:rPr>
        <w:t xml:space="preserve"> </w:t>
      </w:r>
      <w:r>
        <w:t>impacts</w:t>
      </w:r>
      <w:r>
        <w:rPr>
          <w:spacing w:val="-3"/>
        </w:rPr>
        <w:t xml:space="preserve"> </w:t>
      </w:r>
      <w:r>
        <w:t>broadly</w:t>
      </w:r>
      <w:r>
        <w:rPr>
          <w:spacing w:val="-3"/>
        </w:rPr>
        <w:t xml:space="preserve"> </w:t>
      </w:r>
      <w:r>
        <w:t>to</w:t>
      </w:r>
      <w:r>
        <w:rPr>
          <w:spacing w:val="-3"/>
        </w:rPr>
        <w:t xml:space="preserve"> </w:t>
      </w:r>
      <w:r>
        <w:t>ensure</w:t>
      </w:r>
      <w:r>
        <w:rPr>
          <w:spacing w:val="-3"/>
        </w:rPr>
        <w:t xml:space="preserve"> </w:t>
      </w:r>
      <w:r>
        <w:t>that</w:t>
      </w:r>
      <w:r>
        <w:rPr>
          <w:spacing w:val="-3"/>
        </w:rPr>
        <w:t xml:space="preserve"> </w:t>
      </w:r>
      <w:r>
        <w:t>it</w:t>
      </w:r>
      <w:r>
        <w:rPr>
          <w:spacing w:val="-3"/>
        </w:rPr>
        <w:t xml:space="preserve"> </w:t>
      </w:r>
      <w:r>
        <w:t>encompasses a variety of forms and sources of pollution, it only applies to land uses that may contribute to these impacts in designated environmental justice areas. As a result, only the subset of polluting facilities that is most likely to impact surrounding communities will trigger additional scrutiny under this model bill.</w:t>
      </w:r>
    </w:p>
    <w:p w14:paraId="2322705C" w14:textId="77777777" w:rsidR="00D650AF" w:rsidRDefault="00000000">
      <w:pPr>
        <w:pStyle w:val="BodyText"/>
        <w:spacing w:line="276" w:lineRule="auto"/>
        <w:ind w:left="100" w:right="174" w:firstLine="720"/>
      </w:pPr>
      <w:r>
        <w:t>This change in status means that these land uses will require approval from the relevant land use agency to move forward. In granting this approval, the agency is required to make at least</w:t>
      </w:r>
      <w:r>
        <w:rPr>
          <w:spacing w:val="-1"/>
        </w:rPr>
        <w:t xml:space="preserve"> </w:t>
      </w:r>
      <w:r>
        <w:t>one</w:t>
      </w:r>
      <w:r>
        <w:rPr>
          <w:spacing w:val="-1"/>
        </w:rPr>
        <w:t xml:space="preserve"> </w:t>
      </w:r>
      <w:r>
        <w:t>of</w:t>
      </w:r>
      <w:r>
        <w:rPr>
          <w:spacing w:val="-1"/>
        </w:rPr>
        <w:t xml:space="preserve"> </w:t>
      </w:r>
      <w:r>
        <w:t>two</w:t>
      </w:r>
      <w:r>
        <w:rPr>
          <w:spacing w:val="-1"/>
        </w:rPr>
        <w:t xml:space="preserve"> </w:t>
      </w:r>
      <w:r>
        <w:t>specific</w:t>
      </w:r>
      <w:r>
        <w:rPr>
          <w:spacing w:val="-1"/>
        </w:rPr>
        <w:t xml:space="preserve"> </w:t>
      </w:r>
      <w:r>
        <w:t>findings</w:t>
      </w:r>
      <w:r>
        <w:rPr>
          <w:spacing w:val="-1"/>
        </w:rPr>
        <w:t xml:space="preserve"> </w:t>
      </w:r>
      <w:r>
        <w:t>regarding</w:t>
      </w:r>
      <w:r>
        <w:rPr>
          <w:spacing w:val="-1"/>
        </w:rPr>
        <w:t xml:space="preserve"> </w:t>
      </w:r>
      <w:r>
        <w:t>the</w:t>
      </w:r>
      <w:r>
        <w:rPr>
          <w:spacing w:val="-1"/>
        </w:rPr>
        <w:t xml:space="preserve"> </w:t>
      </w:r>
      <w:r>
        <w:t>impact</w:t>
      </w:r>
      <w:r>
        <w:rPr>
          <w:spacing w:val="-1"/>
        </w:rPr>
        <w:t xml:space="preserve"> </w:t>
      </w:r>
      <w:r>
        <w:t>of</w:t>
      </w:r>
      <w:r>
        <w:rPr>
          <w:spacing w:val="-1"/>
        </w:rPr>
        <w:t xml:space="preserve"> </w:t>
      </w:r>
      <w:r>
        <w:t>the</w:t>
      </w:r>
      <w:r>
        <w:rPr>
          <w:spacing w:val="-1"/>
        </w:rPr>
        <w:t xml:space="preserve"> </w:t>
      </w:r>
      <w:r>
        <w:t>proposed</w:t>
      </w:r>
      <w:r>
        <w:rPr>
          <w:spacing w:val="-1"/>
        </w:rPr>
        <w:t xml:space="preserve"> </w:t>
      </w:r>
      <w:r>
        <w:t>use</w:t>
      </w:r>
      <w:r>
        <w:rPr>
          <w:spacing w:val="-1"/>
        </w:rPr>
        <w:t xml:space="preserve"> </w:t>
      </w:r>
      <w:r>
        <w:t>on</w:t>
      </w:r>
      <w:r>
        <w:rPr>
          <w:spacing w:val="-1"/>
        </w:rPr>
        <w:t xml:space="preserve"> </w:t>
      </w:r>
      <w:r>
        <w:t>the</w:t>
      </w:r>
      <w:r>
        <w:rPr>
          <w:spacing w:val="-1"/>
        </w:rPr>
        <w:t xml:space="preserve"> </w:t>
      </w:r>
      <w:r>
        <w:t>environmental justice</w:t>
      </w:r>
      <w:r>
        <w:rPr>
          <w:spacing w:val="-3"/>
        </w:rPr>
        <w:t xml:space="preserve"> </w:t>
      </w:r>
      <w:r>
        <w:t>area.</w:t>
      </w:r>
      <w:r>
        <w:rPr>
          <w:spacing w:val="-3"/>
        </w:rPr>
        <w:t xml:space="preserve"> </w:t>
      </w:r>
      <w:r>
        <w:t>First,</w:t>
      </w:r>
      <w:r>
        <w:rPr>
          <w:spacing w:val="-3"/>
        </w:rPr>
        <w:t xml:space="preserve"> </w:t>
      </w:r>
      <w:r>
        <w:t>the</w:t>
      </w:r>
      <w:r>
        <w:rPr>
          <w:spacing w:val="-3"/>
        </w:rPr>
        <w:t xml:space="preserve"> </w:t>
      </w:r>
      <w:r>
        <w:t>agency</w:t>
      </w:r>
      <w:r>
        <w:rPr>
          <w:spacing w:val="-3"/>
        </w:rPr>
        <w:t xml:space="preserve"> </w:t>
      </w:r>
      <w:r>
        <w:t>may</w:t>
      </w:r>
      <w:r>
        <w:rPr>
          <w:spacing w:val="-3"/>
        </w:rPr>
        <w:t xml:space="preserve"> </w:t>
      </w:r>
      <w:r>
        <w:t>approve</w:t>
      </w:r>
      <w:r>
        <w:rPr>
          <w:spacing w:val="-3"/>
        </w:rPr>
        <w:t xml:space="preserve"> </w:t>
      </w:r>
      <w:r>
        <w:t>the</w:t>
      </w:r>
      <w:r>
        <w:rPr>
          <w:spacing w:val="-3"/>
        </w:rPr>
        <w:t xml:space="preserve"> </w:t>
      </w:r>
      <w:r>
        <w:t>use</w:t>
      </w:r>
      <w:r>
        <w:rPr>
          <w:spacing w:val="-3"/>
        </w:rPr>
        <w:t xml:space="preserve"> </w:t>
      </w:r>
      <w:r>
        <w:t>if</w:t>
      </w:r>
      <w:r>
        <w:rPr>
          <w:spacing w:val="-3"/>
        </w:rPr>
        <w:t xml:space="preserve"> </w:t>
      </w:r>
      <w:r>
        <w:t>it</w:t>
      </w:r>
      <w:r>
        <w:rPr>
          <w:spacing w:val="-3"/>
        </w:rPr>
        <w:t xml:space="preserve"> </w:t>
      </w:r>
      <w:r>
        <w:t>finds</w:t>
      </w:r>
      <w:r>
        <w:rPr>
          <w:spacing w:val="-3"/>
        </w:rPr>
        <w:t xml:space="preserve"> </w:t>
      </w:r>
      <w:r>
        <w:t>that</w:t>
      </w:r>
      <w:r>
        <w:rPr>
          <w:spacing w:val="-3"/>
        </w:rPr>
        <w:t xml:space="preserve"> </w:t>
      </w:r>
      <w:r>
        <w:t>it</w:t>
      </w:r>
      <w:r>
        <w:rPr>
          <w:spacing w:val="-3"/>
        </w:rPr>
        <w:t xml:space="preserve"> </w:t>
      </w:r>
      <w:r>
        <w:t>will</w:t>
      </w:r>
      <w:r>
        <w:rPr>
          <w:spacing w:val="-3"/>
        </w:rPr>
        <w:t xml:space="preserve"> </w:t>
      </w:r>
      <w:r>
        <w:t>not</w:t>
      </w:r>
      <w:r>
        <w:rPr>
          <w:spacing w:val="-3"/>
        </w:rPr>
        <w:t xml:space="preserve"> </w:t>
      </w:r>
      <w:r>
        <w:t>actually</w:t>
      </w:r>
      <w:r>
        <w:rPr>
          <w:spacing w:val="-3"/>
        </w:rPr>
        <w:t xml:space="preserve"> </w:t>
      </w:r>
      <w:r>
        <w:t>contribute</w:t>
      </w:r>
      <w:r>
        <w:rPr>
          <w:spacing w:val="-3"/>
        </w:rPr>
        <w:t xml:space="preserve"> </w:t>
      </w:r>
      <w:r>
        <w:t>to any negative environmental impact in the area. Second, the agency may approve the use if it determines that it is necessary for the public interest and no suitable alternative exists.</w:t>
      </w:r>
    </w:p>
    <w:p w14:paraId="7B3D2D6B" w14:textId="77777777" w:rsidR="00D650AF" w:rsidRDefault="00000000">
      <w:pPr>
        <w:pStyle w:val="BodyText"/>
        <w:spacing w:line="276" w:lineRule="auto"/>
        <w:ind w:left="100" w:right="174" w:firstLine="720"/>
      </w:pPr>
      <w:r>
        <w:t>In</w:t>
      </w:r>
      <w:r>
        <w:rPr>
          <w:spacing w:val="-3"/>
        </w:rPr>
        <w:t xml:space="preserve"> </w:t>
      </w:r>
      <w:r>
        <w:t>assessing</w:t>
      </w:r>
      <w:r>
        <w:rPr>
          <w:spacing w:val="-3"/>
        </w:rPr>
        <w:t xml:space="preserve"> </w:t>
      </w:r>
      <w:r>
        <w:t>whether</w:t>
      </w:r>
      <w:r>
        <w:rPr>
          <w:spacing w:val="-3"/>
        </w:rPr>
        <w:t xml:space="preserve"> </w:t>
      </w:r>
      <w:r>
        <w:t>the</w:t>
      </w:r>
      <w:r>
        <w:rPr>
          <w:spacing w:val="-3"/>
        </w:rPr>
        <w:t xml:space="preserve"> </w:t>
      </w:r>
      <w:r>
        <w:t>use</w:t>
      </w:r>
      <w:r>
        <w:rPr>
          <w:spacing w:val="-3"/>
        </w:rPr>
        <w:t xml:space="preserve"> </w:t>
      </w:r>
      <w:r>
        <w:t>is</w:t>
      </w:r>
      <w:r>
        <w:rPr>
          <w:spacing w:val="-3"/>
        </w:rPr>
        <w:t xml:space="preserve"> </w:t>
      </w:r>
      <w:r>
        <w:t>necessary</w:t>
      </w:r>
      <w:r>
        <w:rPr>
          <w:spacing w:val="-3"/>
        </w:rPr>
        <w:t xml:space="preserve"> </w:t>
      </w:r>
      <w:r>
        <w:t>for</w:t>
      </w:r>
      <w:r>
        <w:rPr>
          <w:spacing w:val="-3"/>
        </w:rPr>
        <w:t xml:space="preserve"> </w:t>
      </w:r>
      <w:r>
        <w:t>the</w:t>
      </w:r>
      <w:r>
        <w:rPr>
          <w:spacing w:val="-3"/>
        </w:rPr>
        <w:t xml:space="preserve"> </w:t>
      </w:r>
      <w:r>
        <w:t>public</w:t>
      </w:r>
      <w:r>
        <w:rPr>
          <w:spacing w:val="-3"/>
        </w:rPr>
        <w:t xml:space="preserve"> </w:t>
      </w:r>
      <w:r>
        <w:t>interest,</w:t>
      </w:r>
      <w:r>
        <w:rPr>
          <w:spacing w:val="-3"/>
        </w:rPr>
        <w:t xml:space="preserve"> </w:t>
      </w:r>
      <w:r>
        <w:t>the</w:t>
      </w:r>
      <w:r>
        <w:rPr>
          <w:spacing w:val="-3"/>
        </w:rPr>
        <w:t xml:space="preserve"> </w:t>
      </w:r>
      <w:r>
        <w:t>agency</w:t>
      </w:r>
      <w:r>
        <w:rPr>
          <w:spacing w:val="-3"/>
        </w:rPr>
        <w:t xml:space="preserve"> </w:t>
      </w:r>
      <w:r>
        <w:t>can</w:t>
      </w:r>
      <w:r>
        <w:rPr>
          <w:spacing w:val="-3"/>
        </w:rPr>
        <w:t xml:space="preserve"> </w:t>
      </w:r>
      <w:r>
        <w:t>take</w:t>
      </w:r>
      <w:r>
        <w:rPr>
          <w:spacing w:val="-3"/>
        </w:rPr>
        <w:t xml:space="preserve"> </w:t>
      </w:r>
      <w:r>
        <w:t>into account whether the benefits of the use to the impacted community will outweigh the negative environmental impact generated by the use. For example, the construction of a large residential building that will provide ample affordable or public housing for the community may be approved under this provision even if the construction or operation of the building will produce some</w:t>
      </w:r>
      <w:r>
        <w:rPr>
          <w:spacing w:val="-3"/>
        </w:rPr>
        <w:t xml:space="preserve"> </w:t>
      </w:r>
      <w:r>
        <w:t>emissions.</w:t>
      </w:r>
      <w:r>
        <w:rPr>
          <w:spacing w:val="-3"/>
        </w:rPr>
        <w:t xml:space="preserve"> </w:t>
      </w:r>
      <w:r>
        <w:t>The</w:t>
      </w:r>
      <w:r>
        <w:rPr>
          <w:spacing w:val="-3"/>
        </w:rPr>
        <w:t xml:space="preserve"> </w:t>
      </w:r>
      <w:r>
        <w:t>agency</w:t>
      </w:r>
      <w:r>
        <w:rPr>
          <w:spacing w:val="-3"/>
        </w:rPr>
        <w:t xml:space="preserve"> </w:t>
      </w:r>
      <w:r>
        <w:t>may</w:t>
      </w:r>
      <w:r>
        <w:rPr>
          <w:spacing w:val="-3"/>
        </w:rPr>
        <w:t xml:space="preserve"> </w:t>
      </w:r>
      <w:r>
        <w:t>also</w:t>
      </w:r>
      <w:r>
        <w:rPr>
          <w:spacing w:val="-3"/>
        </w:rPr>
        <w:t xml:space="preserve"> </w:t>
      </w:r>
      <w:r>
        <w:t>consider</w:t>
      </w:r>
      <w:r>
        <w:rPr>
          <w:spacing w:val="-3"/>
        </w:rPr>
        <w:t xml:space="preserve"> </w:t>
      </w:r>
      <w:r>
        <w:t>the</w:t>
      </w:r>
      <w:r>
        <w:rPr>
          <w:spacing w:val="-3"/>
        </w:rPr>
        <w:t xml:space="preserve"> </w:t>
      </w:r>
      <w:r>
        <w:t>existence</w:t>
      </w:r>
      <w:r>
        <w:rPr>
          <w:spacing w:val="-3"/>
        </w:rPr>
        <w:t xml:space="preserve"> </w:t>
      </w:r>
      <w:r>
        <w:t>of</w:t>
      </w:r>
      <w:r>
        <w:rPr>
          <w:spacing w:val="-3"/>
        </w:rPr>
        <w:t xml:space="preserve"> </w:t>
      </w:r>
      <w:r>
        <w:t>a</w:t>
      </w:r>
      <w:r>
        <w:rPr>
          <w:spacing w:val="-3"/>
        </w:rPr>
        <w:t xml:space="preserve"> </w:t>
      </w:r>
      <w:r>
        <w:t>community</w:t>
      </w:r>
      <w:r>
        <w:rPr>
          <w:spacing w:val="-3"/>
        </w:rPr>
        <w:t xml:space="preserve"> </w:t>
      </w:r>
      <w:r>
        <w:t>benefit</w:t>
      </w:r>
      <w:r>
        <w:rPr>
          <w:spacing w:val="-3"/>
        </w:rPr>
        <w:t xml:space="preserve"> </w:t>
      </w:r>
      <w:r>
        <w:t>agreement as evidence that the proposed land use is necessary for the public interest. This provision is designed to prevent the permitting of burdensome development based on vague promises of potential benefits for the community. In approving the land use, the agency is also required to place reasonable and appropriate conditions on the use in order to minimize the negative environmental and public health impacts on the community.</w:t>
      </w:r>
    </w:p>
    <w:p w14:paraId="75046451" w14:textId="77777777" w:rsidR="00D650AF" w:rsidRDefault="00D650AF">
      <w:pPr>
        <w:pStyle w:val="BodyText"/>
        <w:spacing w:before="6"/>
        <w:rPr>
          <w:sz w:val="27"/>
        </w:rPr>
      </w:pPr>
    </w:p>
    <w:p w14:paraId="448980C5" w14:textId="77777777" w:rsidR="00D650AF" w:rsidRDefault="00000000">
      <w:pPr>
        <w:pStyle w:val="Heading1"/>
        <w:spacing w:before="1"/>
        <w:ind w:left="2801" w:firstLine="0"/>
      </w:pPr>
      <w:r>
        <w:t>Environmental</w:t>
      </w:r>
      <w:r>
        <w:rPr>
          <w:spacing w:val="-4"/>
        </w:rPr>
        <w:t xml:space="preserve"> </w:t>
      </w:r>
      <w:r>
        <w:t>Justice</w:t>
      </w:r>
      <w:r>
        <w:rPr>
          <w:spacing w:val="-3"/>
        </w:rPr>
        <w:t xml:space="preserve"> </w:t>
      </w:r>
      <w:r>
        <w:t>Area</w:t>
      </w:r>
      <w:r>
        <w:rPr>
          <w:spacing w:val="-3"/>
        </w:rPr>
        <w:t xml:space="preserve"> </w:t>
      </w:r>
      <w:r>
        <w:rPr>
          <w:spacing w:val="-2"/>
        </w:rPr>
        <w:t>Definition</w:t>
      </w:r>
    </w:p>
    <w:p w14:paraId="6A1DDD74" w14:textId="77777777" w:rsidR="00D650AF" w:rsidRDefault="00000000">
      <w:pPr>
        <w:pStyle w:val="BodyText"/>
        <w:spacing w:before="41" w:line="276" w:lineRule="auto"/>
        <w:ind w:left="100" w:firstLine="720"/>
      </w:pPr>
      <w:r>
        <w:t>This</w:t>
      </w:r>
      <w:r>
        <w:rPr>
          <w:spacing w:val="-3"/>
        </w:rPr>
        <w:t xml:space="preserve"> </w:t>
      </w:r>
      <w:r>
        <w:t>bill</w:t>
      </w:r>
      <w:r>
        <w:rPr>
          <w:spacing w:val="-3"/>
        </w:rPr>
        <w:t xml:space="preserve"> </w:t>
      </w:r>
      <w:r>
        <w:t>uses</w:t>
      </w:r>
      <w:r>
        <w:rPr>
          <w:spacing w:val="-3"/>
        </w:rPr>
        <w:t xml:space="preserve"> </w:t>
      </w:r>
      <w:r>
        <w:t>the</w:t>
      </w:r>
      <w:r>
        <w:rPr>
          <w:spacing w:val="-3"/>
        </w:rPr>
        <w:t xml:space="preserve"> </w:t>
      </w:r>
      <w:r>
        <w:t>term</w:t>
      </w:r>
      <w:r>
        <w:rPr>
          <w:spacing w:val="-3"/>
        </w:rPr>
        <w:t xml:space="preserve"> </w:t>
      </w:r>
      <w:r>
        <w:t>“environmental</w:t>
      </w:r>
      <w:r>
        <w:rPr>
          <w:spacing w:val="-3"/>
        </w:rPr>
        <w:t xml:space="preserve"> </w:t>
      </w:r>
      <w:r>
        <w:t>justice</w:t>
      </w:r>
      <w:r>
        <w:rPr>
          <w:spacing w:val="-3"/>
        </w:rPr>
        <w:t xml:space="preserve"> </w:t>
      </w:r>
      <w:r>
        <w:t>area”</w:t>
      </w:r>
      <w:r>
        <w:rPr>
          <w:spacing w:val="-3"/>
        </w:rPr>
        <w:t xml:space="preserve"> </w:t>
      </w:r>
      <w:r>
        <w:t>to</w:t>
      </w:r>
      <w:r>
        <w:rPr>
          <w:spacing w:val="-3"/>
        </w:rPr>
        <w:t xml:space="preserve"> </w:t>
      </w:r>
      <w:r>
        <w:t>designate</w:t>
      </w:r>
      <w:r>
        <w:rPr>
          <w:spacing w:val="-3"/>
        </w:rPr>
        <w:t xml:space="preserve"> </w:t>
      </w:r>
      <w:r>
        <w:t>areas</w:t>
      </w:r>
      <w:r>
        <w:rPr>
          <w:spacing w:val="-3"/>
        </w:rPr>
        <w:t xml:space="preserve"> </w:t>
      </w:r>
      <w:r>
        <w:t>that</w:t>
      </w:r>
      <w:r>
        <w:rPr>
          <w:spacing w:val="-3"/>
        </w:rPr>
        <w:t xml:space="preserve"> </w:t>
      </w:r>
      <w:r>
        <w:t>are</w:t>
      </w:r>
      <w:r>
        <w:rPr>
          <w:spacing w:val="-3"/>
        </w:rPr>
        <w:t xml:space="preserve"> </w:t>
      </w:r>
      <w:r>
        <w:t>known</w:t>
      </w:r>
      <w:r>
        <w:rPr>
          <w:spacing w:val="-3"/>
        </w:rPr>
        <w:t xml:space="preserve"> </w:t>
      </w:r>
      <w:r>
        <w:t>to experience or are likely to experience disproportionate environmental hazards, as well as communities that may face increased obstacles to participating in public decision-making</w:t>
      </w:r>
    </w:p>
    <w:p w14:paraId="16C5ADD2" w14:textId="77777777" w:rsidR="00D650AF" w:rsidRDefault="00D650AF">
      <w:pPr>
        <w:spacing w:line="276" w:lineRule="auto"/>
        <w:sectPr w:rsidR="00D650AF">
          <w:pgSz w:w="12240" w:h="15840"/>
          <w:pgMar w:top="1380" w:right="1340" w:bottom="280" w:left="1340" w:header="720" w:footer="720" w:gutter="0"/>
          <w:cols w:space="720"/>
        </w:sectPr>
      </w:pPr>
    </w:p>
    <w:p w14:paraId="38A9FC60" w14:textId="77777777" w:rsidR="00D650AF" w:rsidRDefault="00000000">
      <w:pPr>
        <w:pStyle w:val="BodyText"/>
        <w:spacing w:before="80" w:line="276" w:lineRule="auto"/>
        <w:ind w:left="100" w:right="174"/>
      </w:pPr>
      <w:r>
        <w:lastRenderedPageBreak/>
        <w:t>processes.</w:t>
      </w:r>
      <w:r>
        <w:rPr>
          <w:vertAlign w:val="superscript"/>
        </w:rPr>
        <w:t>12</w:t>
      </w:r>
      <w:r>
        <w:t xml:space="preserve"> Under this bill, only proposed land uses that could contribute to environmental hazards in these specific areas are subject to additional review. The bill’s definition of “environmental justice area” is critical to ensuring that the benefits of the bill flow to the communities most likely to be affected by polluting facilities and to preventing unnecessary administrative</w:t>
      </w:r>
      <w:r>
        <w:rPr>
          <w:spacing w:val="-4"/>
        </w:rPr>
        <w:t xml:space="preserve"> </w:t>
      </w:r>
      <w:r>
        <w:t>delays</w:t>
      </w:r>
      <w:r>
        <w:rPr>
          <w:spacing w:val="-4"/>
        </w:rPr>
        <w:t xml:space="preserve"> </w:t>
      </w:r>
      <w:r>
        <w:t>in</w:t>
      </w:r>
      <w:r>
        <w:rPr>
          <w:spacing w:val="-4"/>
        </w:rPr>
        <w:t xml:space="preserve"> </w:t>
      </w:r>
      <w:r>
        <w:t>areas</w:t>
      </w:r>
      <w:r>
        <w:rPr>
          <w:spacing w:val="-4"/>
        </w:rPr>
        <w:t xml:space="preserve"> </w:t>
      </w:r>
      <w:r>
        <w:t>that</w:t>
      </w:r>
      <w:r>
        <w:rPr>
          <w:spacing w:val="-4"/>
        </w:rPr>
        <w:t xml:space="preserve"> </w:t>
      </w:r>
      <w:r>
        <w:t>are</w:t>
      </w:r>
      <w:r>
        <w:rPr>
          <w:spacing w:val="-4"/>
        </w:rPr>
        <w:t xml:space="preserve"> </w:t>
      </w:r>
      <w:r>
        <w:t>less</w:t>
      </w:r>
      <w:r>
        <w:rPr>
          <w:spacing w:val="-4"/>
        </w:rPr>
        <w:t xml:space="preserve"> </w:t>
      </w:r>
      <w:r>
        <w:t>likely</w:t>
      </w:r>
      <w:r>
        <w:rPr>
          <w:spacing w:val="-4"/>
        </w:rPr>
        <w:t xml:space="preserve"> </w:t>
      </w:r>
      <w:r>
        <w:t>to</w:t>
      </w:r>
      <w:r>
        <w:rPr>
          <w:spacing w:val="-4"/>
        </w:rPr>
        <w:t xml:space="preserve"> </w:t>
      </w:r>
      <w:r>
        <w:t>be</w:t>
      </w:r>
      <w:r>
        <w:rPr>
          <w:spacing w:val="-4"/>
        </w:rPr>
        <w:t xml:space="preserve"> </w:t>
      </w:r>
      <w:r>
        <w:t>affected.</w:t>
      </w:r>
      <w:r>
        <w:rPr>
          <w:spacing w:val="-4"/>
        </w:rPr>
        <w:t xml:space="preserve"> </w:t>
      </w:r>
      <w:r>
        <w:t>To</w:t>
      </w:r>
      <w:r>
        <w:rPr>
          <w:spacing w:val="-4"/>
        </w:rPr>
        <w:t xml:space="preserve"> </w:t>
      </w:r>
      <w:r>
        <w:t>that</w:t>
      </w:r>
      <w:r>
        <w:rPr>
          <w:spacing w:val="-4"/>
        </w:rPr>
        <w:t xml:space="preserve"> </w:t>
      </w:r>
      <w:r>
        <w:t>end,</w:t>
      </w:r>
      <w:r>
        <w:rPr>
          <w:spacing w:val="-4"/>
        </w:rPr>
        <w:t xml:space="preserve"> </w:t>
      </w:r>
      <w:r>
        <w:t>the</w:t>
      </w:r>
      <w:r>
        <w:rPr>
          <w:spacing w:val="-4"/>
        </w:rPr>
        <w:t xml:space="preserve"> </w:t>
      </w:r>
      <w:r>
        <w:t>definition</w:t>
      </w:r>
      <w:r>
        <w:rPr>
          <w:spacing w:val="-4"/>
        </w:rPr>
        <w:t xml:space="preserve"> </w:t>
      </w:r>
      <w:r>
        <w:t>uses four criteria to identify qualifying areas: 1) areas that qualify based on a single demographic factor that is closely tied to increased risk or decreased public participation; 2) areas ranking highly on national indices of susceptibility to environmental pollution; 3) lands of federally recognized tribes; and 4) specially designated areas.</w:t>
      </w:r>
    </w:p>
    <w:p w14:paraId="6C43B35B" w14:textId="77777777" w:rsidR="00D650AF" w:rsidRDefault="00000000">
      <w:pPr>
        <w:pStyle w:val="Heading1"/>
        <w:numPr>
          <w:ilvl w:val="0"/>
          <w:numId w:val="1"/>
        </w:numPr>
        <w:tabs>
          <w:tab w:val="left" w:pos="820"/>
        </w:tabs>
      </w:pPr>
      <w:r>
        <w:rPr>
          <w:spacing w:val="-2"/>
        </w:rPr>
        <w:t>Demographics</w:t>
      </w:r>
    </w:p>
    <w:p w14:paraId="7C44AB02" w14:textId="77777777" w:rsidR="00D650AF" w:rsidRDefault="00000000">
      <w:pPr>
        <w:pStyle w:val="BodyText"/>
        <w:spacing w:before="41" w:line="276" w:lineRule="auto"/>
        <w:ind w:left="100" w:right="153" w:firstLine="720"/>
      </w:pPr>
      <w:r>
        <w:t>First, an area may be designated as an environmental justice area based on the demographics of its residents, as determined by the most recent U.S. Census or American Community Survey. Communities with more low-income households, households with limited English</w:t>
      </w:r>
      <w:r>
        <w:rPr>
          <w:spacing w:val="-2"/>
        </w:rPr>
        <w:t xml:space="preserve"> </w:t>
      </w:r>
      <w:r>
        <w:t>proficiency,</w:t>
      </w:r>
      <w:r>
        <w:rPr>
          <w:spacing w:val="-2"/>
        </w:rPr>
        <w:t xml:space="preserve"> </w:t>
      </w:r>
      <w:r>
        <w:t>or</w:t>
      </w:r>
      <w:r>
        <w:rPr>
          <w:spacing w:val="-2"/>
        </w:rPr>
        <w:t xml:space="preserve"> </w:t>
      </w:r>
      <w:r>
        <w:t>limited</w:t>
      </w:r>
      <w:r>
        <w:rPr>
          <w:spacing w:val="-2"/>
        </w:rPr>
        <w:t xml:space="preserve"> </w:t>
      </w:r>
      <w:r>
        <w:t>formal</w:t>
      </w:r>
      <w:r>
        <w:rPr>
          <w:spacing w:val="-2"/>
        </w:rPr>
        <w:t xml:space="preserve"> </w:t>
      </w:r>
      <w:r>
        <w:t>education</w:t>
      </w:r>
      <w:r>
        <w:rPr>
          <w:spacing w:val="-2"/>
        </w:rPr>
        <w:t xml:space="preserve"> </w:t>
      </w:r>
      <w:r>
        <w:t>are</w:t>
      </w:r>
      <w:r>
        <w:rPr>
          <w:spacing w:val="-2"/>
        </w:rPr>
        <w:t xml:space="preserve"> </w:t>
      </w:r>
      <w:r>
        <w:t>included,</w:t>
      </w:r>
      <w:r>
        <w:rPr>
          <w:spacing w:val="-2"/>
        </w:rPr>
        <w:t xml:space="preserve"> </w:t>
      </w:r>
      <w:r>
        <w:t>as</w:t>
      </w:r>
      <w:r>
        <w:rPr>
          <w:spacing w:val="-2"/>
        </w:rPr>
        <w:t xml:space="preserve"> </w:t>
      </w:r>
      <w:r>
        <w:t>these</w:t>
      </w:r>
      <w:r>
        <w:rPr>
          <w:spacing w:val="-2"/>
        </w:rPr>
        <w:t xml:space="preserve"> </w:t>
      </w:r>
      <w:r>
        <w:t>demographics</w:t>
      </w:r>
      <w:r>
        <w:rPr>
          <w:spacing w:val="-2"/>
        </w:rPr>
        <w:t xml:space="preserve"> </w:t>
      </w:r>
      <w:r>
        <w:t>correspond to increased vulnerability to environmental hazards</w:t>
      </w:r>
      <w:r>
        <w:rPr>
          <w:vertAlign w:val="superscript"/>
        </w:rPr>
        <w:t>13</w:t>
      </w:r>
      <w:r>
        <w:t xml:space="preserve"> or decreased ability to participate in public decision-making processes.</w:t>
      </w:r>
      <w:r>
        <w:rPr>
          <w:vertAlign w:val="superscript"/>
        </w:rPr>
        <w:t>14</w:t>
      </w:r>
      <w:r>
        <w:t xml:space="preserve"> Information on these demographics is widely available, regularly updated,</w:t>
      </w:r>
      <w:r>
        <w:rPr>
          <w:spacing w:val="-4"/>
        </w:rPr>
        <w:t xml:space="preserve"> </w:t>
      </w:r>
      <w:r>
        <w:t>and</w:t>
      </w:r>
      <w:r>
        <w:rPr>
          <w:spacing w:val="-4"/>
        </w:rPr>
        <w:t xml:space="preserve"> </w:t>
      </w:r>
      <w:r>
        <w:t>fairly</w:t>
      </w:r>
      <w:r>
        <w:rPr>
          <w:spacing w:val="-4"/>
        </w:rPr>
        <w:t xml:space="preserve"> </w:t>
      </w:r>
      <w:r>
        <w:t>high-resolution,</w:t>
      </w:r>
      <w:r>
        <w:rPr>
          <w:spacing w:val="-4"/>
        </w:rPr>
        <w:t xml:space="preserve"> </w:t>
      </w:r>
      <w:r>
        <w:t>making</w:t>
      </w:r>
      <w:r>
        <w:rPr>
          <w:spacing w:val="-4"/>
        </w:rPr>
        <w:t xml:space="preserve"> </w:t>
      </w:r>
      <w:r>
        <w:t>these</w:t>
      </w:r>
      <w:r>
        <w:rPr>
          <w:spacing w:val="-4"/>
        </w:rPr>
        <w:t xml:space="preserve"> </w:t>
      </w:r>
      <w:r>
        <w:t>neighborhood</w:t>
      </w:r>
      <w:r>
        <w:rPr>
          <w:spacing w:val="-4"/>
        </w:rPr>
        <w:t xml:space="preserve"> </w:t>
      </w:r>
      <w:r>
        <w:t>characteristics</w:t>
      </w:r>
      <w:r>
        <w:rPr>
          <w:spacing w:val="-4"/>
        </w:rPr>
        <w:t xml:space="preserve"> </w:t>
      </w:r>
      <w:r>
        <w:t>well-suited</w:t>
      </w:r>
      <w:r>
        <w:rPr>
          <w:spacing w:val="-4"/>
        </w:rPr>
        <w:t xml:space="preserve"> </w:t>
      </w:r>
      <w:r>
        <w:t>to</w:t>
      </w:r>
      <w:r>
        <w:rPr>
          <w:spacing w:val="-4"/>
        </w:rPr>
        <w:t xml:space="preserve"> </w:t>
      </w:r>
      <w:r>
        <w:t>use in statewide legislation, particularly in jurisdictions that do not have resources to conduct additional data collection.</w:t>
      </w:r>
      <w:r>
        <w:rPr>
          <w:vertAlign w:val="superscript"/>
        </w:rPr>
        <w:t>15</w:t>
      </w:r>
    </w:p>
    <w:p w14:paraId="71615CCA" w14:textId="77777777" w:rsidR="00D650AF" w:rsidRDefault="00D650AF">
      <w:pPr>
        <w:pStyle w:val="BodyText"/>
        <w:rPr>
          <w:sz w:val="20"/>
        </w:rPr>
      </w:pPr>
    </w:p>
    <w:p w14:paraId="3F31B555" w14:textId="77777777" w:rsidR="00D650AF" w:rsidRDefault="00D650AF">
      <w:pPr>
        <w:pStyle w:val="BodyText"/>
        <w:rPr>
          <w:sz w:val="20"/>
        </w:rPr>
      </w:pPr>
    </w:p>
    <w:p w14:paraId="710652C5" w14:textId="77777777" w:rsidR="00D650AF" w:rsidRDefault="00D650AF">
      <w:pPr>
        <w:pStyle w:val="BodyText"/>
        <w:rPr>
          <w:sz w:val="20"/>
        </w:rPr>
      </w:pPr>
    </w:p>
    <w:p w14:paraId="1AA2480E" w14:textId="77777777" w:rsidR="00D650AF" w:rsidRDefault="00D650AF">
      <w:pPr>
        <w:pStyle w:val="BodyText"/>
        <w:rPr>
          <w:sz w:val="20"/>
        </w:rPr>
      </w:pPr>
    </w:p>
    <w:p w14:paraId="5EB2F78F" w14:textId="77777777" w:rsidR="00D650AF" w:rsidRDefault="00D650AF">
      <w:pPr>
        <w:pStyle w:val="BodyText"/>
        <w:rPr>
          <w:sz w:val="20"/>
        </w:rPr>
      </w:pPr>
    </w:p>
    <w:p w14:paraId="12D004D0" w14:textId="77777777" w:rsidR="00D650AF" w:rsidRDefault="00000000">
      <w:pPr>
        <w:pStyle w:val="BodyText"/>
        <w:rPr>
          <w:sz w:val="29"/>
        </w:rPr>
      </w:pPr>
      <w:r>
        <w:rPr>
          <w:noProof/>
        </w:rPr>
        <mc:AlternateContent>
          <mc:Choice Requires="wps">
            <w:drawing>
              <wp:anchor distT="0" distB="0" distL="0" distR="0" simplePos="0" relativeHeight="487588864" behindDoc="1" locked="0" layoutInCell="1" allowOverlap="1" wp14:anchorId="78D81E79" wp14:editId="161612F4">
                <wp:simplePos x="0" y="0"/>
                <wp:positionH relativeFrom="page">
                  <wp:posOffset>914400</wp:posOffset>
                </wp:positionH>
                <wp:positionV relativeFrom="paragraph">
                  <wp:posOffset>227270</wp:posOffset>
                </wp:positionV>
                <wp:extent cx="1828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E3E817" id="Graphic 3" o:spid="_x0000_s1026" style="position:absolute;margin-left:1in;margin-top:17.9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" path="m,l1828800,e" filled="f">
                <v:path arrowok="t"/>
                <w10:wrap type="topAndBottom" anchorx="page"/>
              </v:shape>
            </w:pict>
          </mc:Fallback>
        </mc:AlternateContent>
      </w:r>
    </w:p>
    <w:p w14:paraId="51556D90" w14:textId="77777777" w:rsidR="00D650AF" w:rsidRDefault="00000000">
      <w:pPr>
        <w:spacing w:before="101"/>
        <w:ind w:left="100" w:right="160"/>
      </w:pPr>
      <w:r>
        <w:rPr>
          <w:rFonts w:ascii="Arial" w:hAnsi="Arial"/>
          <w:vertAlign w:val="superscript"/>
        </w:rPr>
        <w:t>12</w:t>
      </w:r>
      <w:r>
        <w:rPr>
          <w:rFonts w:ascii="Arial" w:hAnsi="Arial"/>
        </w:rPr>
        <w:t xml:space="preserve"> </w:t>
      </w:r>
      <w:r>
        <w:t>The language used in similar existing legislation can vary, but this bill uses the term “environmental justice area” rather than “overburdened” or “disadvantaged community” because it intends to capture communities</w:t>
      </w:r>
      <w:r>
        <w:rPr>
          <w:spacing w:val="-4"/>
        </w:rPr>
        <w:t xml:space="preserve"> </w:t>
      </w:r>
      <w:r>
        <w:t>that</w:t>
      </w:r>
      <w:r>
        <w:rPr>
          <w:spacing w:val="-4"/>
        </w:rPr>
        <w:t xml:space="preserve"> </w:t>
      </w:r>
      <w:r>
        <w:t>are</w:t>
      </w:r>
      <w:r>
        <w:rPr>
          <w:spacing w:val="-4"/>
        </w:rPr>
        <w:t xml:space="preserve"> </w:t>
      </w:r>
      <w:r>
        <w:t>most</w:t>
      </w:r>
      <w:r>
        <w:rPr>
          <w:spacing w:val="-4"/>
        </w:rPr>
        <w:t xml:space="preserve"> </w:t>
      </w:r>
      <w:r>
        <w:t>likely</w:t>
      </w:r>
      <w:r>
        <w:rPr>
          <w:spacing w:val="-4"/>
        </w:rPr>
        <w:t xml:space="preserve"> </w:t>
      </w:r>
      <w:r>
        <w:t>to</w:t>
      </w:r>
      <w:r>
        <w:rPr>
          <w:spacing w:val="-4"/>
        </w:rPr>
        <w:t xml:space="preserve"> </w:t>
      </w:r>
      <w:r>
        <w:t>be</w:t>
      </w:r>
      <w:r>
        <w:rPr>
          <w:spacing w:val="-4"/>
        </w:rPr>
        <w:t xml:space="preserve"> </w:t>
      </w:r>
      <w:r>
        <w:t>affected</w:t>
      </w:r>
      <w:r>
        <w:rPr>
          <w:spacing w:val="-4"/>
        </w:rPr>
        <w:t xml:space="preserve"> </w:t>
      </w:r>
      <w:r>
        <w:t>by</w:t>
      </w:r>
      <w:r>
        <w:rPr>
          <w:spacing w:val="-4"/>
        </w:rPr>
        <w:t xml:space="preserve"> </w:t>
      </w:r>
      <w:r>
        <w:t>environmental</w:t>
      </w:r>
      <w:r>
        <w:rPr>
          <w:spacing w:val="-4"/>
        </w:rPr>
        <w:t xml:space="preserve"> </w:t>
      </w:r>
      <w:r>
        <w:t>hazards,</w:t>
      </w:r>
      <w:r>
        <w:rPr>
          <w:spacing w:val="-4"/>
        </w:rPr>
        <w:t xml:space="preserve"> </w:t>
      </w:r>
      <w:r>
        <w:t>therefore</w:t>
      </w:r>
      <w:r>
        <w:rPr>
          <w:spacing w:val="-4"/>
        </w:rPr>
        <w:t xml:space="preserve"> </w:t>
      </w:r>
      <w:r>
        <w:t>warranting</w:t>
      </w:r>
      <w:r>
        <w:rPr>
          <w:spacing w:val="-4"/>
        </w:rPr>
        <w:t xml:space="preserve"> </w:t>
      </w:r>
      <w:r>
        <w:t>additional attention in decision-making processes. It does not assume that all communities that meet these criteria are necessarily overburdened or disproportionately impacted by environmental stressors. Similarly, the word “area” is used in place of “community” to acknowledge that the boundaries used by the definition do not necessarily correspond with organic community boundaries and that multiple communities may overlap or intersect within a single qualifying area.</w:t>
      </w:r>
    </w:p>
    <w:p w14:paraId="55590A86" w14:textId="77777777" w:rsidR="00D650AF" w:rsidRDefault="00000000">
      <w:pPr>
        <w:ind w:left="100"/>
      </w:pPr>
      <w:r>
        <w:rPr>
          <w:vertAlign w:val="superscript"/>
        </w:rPr>
        <w:t>13</w:t>
      </w:r>
      <w:r>
        <w:t xml:space="preserve"> Lori M. Hunter, The Spatial Association Between U.S. Immigrant Residential Concentration and Environmental</w:t>
      </w:r>
      <w:r>
        <w:rPr>
          <w:spacing w:val="-7"/>
        </w:rPr>
        <w:t xml:space="preserve"> </w:t>
      </w:r>
      <w:r>
        <w:t>Hazards,</w:t>
      </w:r>
      <w:r>
        <w:rPr>
          <w:spacing w:val="-7"/>
        </w:rPr>
        <w:t xml:space="preserve"> </w:t>
      </w:r>
      <w:r>
        <w:t>34</w:t>
      </w:r>
      <w:r>
        <w:rPr>
          <w:spacing w:val="-7"/>
        </w:rPr>
        <w:t xml:space="preserve"> </w:t>
      </w:r>
      <w:r>
        <w:t>Int.</w:t>
      </w:r>
      <w:r>
        <w:rPr>
          <w:spacing w:val="-7"/>
        </w:rPr>
        <w:t xml:space="preserve"> </w:t>
      </w:r>
      <w:r>
        <w:t>Migration</w:t>
      </w:r>
      <w:r>
        <w:rPr>
          <w:spacing w:val="-7"/>
        </w:rPr>
        <w:t xml:space="preserve"> </w:t>
      </w:r>
      <w:r>
        <w:t>Rev.</w:t>
      </w:r>
      <w:r>
        <w:rPr>
          <w:spacing w:val="-7"/>
        </w:rPr>
        <w:t xml:space="preserve"> </w:t>
      </w:r>
      <w:r>
        <w:t>460</w:t>
      </w:r>
      <w:r>
        <w:rPr>
          <w:spacing w:val="-7"/>
        </w:rPr>
        <w:t xml:space="preserve"> </w:t>
      </w:r>
      <w:r>
        <w:t>(2000),</w:t>
      </w:r>
      <w:r>
        <w:rPr>
          <w:spacing w:val="-7"/>
        </w:rPr>
        <w:t xml:space="preserve"> </w:t>
      </w:r>
      <w:hyperlink r:id="rId10">
        <w:r>
          <w:rPr>
            <w:u w:val="thick"/>
          </w:rPr>
          <w:t>https://doi.org/10.2307/2675910</w:t>
        </w:r>
      </w:hyperlink>
      <w:r>
        <w:t>;</w:t>
      </w:r>
      <w:r>
        <w:rPr>
          <w:spacing w:val="-7"/>
        </w:rPr>
        <w:t xml:space="preserve"> </w:t>
      </w:r>
      <w:r>
        <w:t>California OEHHA, supra, at 7.</w:t>
      </w:r>
    </w:p>
    <w:p w14:paraId="53F58F05" w14:textId="77777777" w:rsidR="00D650AF" w:rsidRDefault="00000000">
      <w:pPr>
        <w:ind w:left="100" w:right="96"/>
      </w:pPr>
      <w:r>
        <w:rPr>
          <w:vertAlign w:val="superscript"/>
        </w:rPr>
        <w:t>14</w:t>
      </w:r>
      <w:r>
        <w:t xml:space="preserve"> Janet A. Phoenix, Anti-Resilience Factors of Environmental Justice Communities, in </w:t>
      </w:r>
      <w:r>
        <w:rPr>
          <w:u w:val="thick"/>
        </w:rPr>
        <w:t>Environmental</w:t>
      </w:r>
      <w:r>
        <w:t xml:space="preserve"> </w:t>
      </w:r>
      <w:r>
        <w:rPr>
          <w:u w:val="thick"/>
        </w:rPr>
        <w:t>Justice and Resiliency in an Age of Uncertainty</w:t>
      </w:r>
      <w:r>
        <w:t xml:space="preserve"> 72, 74 (2022) (“This has the potential to reduce the number of residents in environmental justice communities who are able to interpret what data exists documenting exposures, leaving communities more vulnerable. … Reports that are released for public comment</w:t>
      </w:r>
      <w:r>
        <w:rPr>
          <w:spacing w:val="-3"/>
        </w:rPr>
        <w:t xml:space="preserve"> </w:t>
      </w:r>
      <w:r>
        <w:t>may</w:t>
      </w:r>
      <w:r>
        <w:rPr>
          <w:spacing w:val="-3"/>
        </w:rPr>
        <w:t xml:space="preserve"> </w:t>
      </w:r>
      <w:r>
        <w:t>be</w:t>
      </w:r>
      <w:r>
        <w:rPr>
          <w:spacing w:val="-3"/>
        </w:rPr>
        <w:t xml:space="preserve"> </w:t>
      </w:r>
      <w:r>
        <w:t>written</w:t>
      </w:r>
      <w:r>
        <w:rPr>
          <w:spacing w:val="-3"/>
        </w:rPr>
        <w:t xml:space="preserve"> </w:t>
      </w:r>
      <w:r>
        <w:t>in</w:t>
      </w:r>
      <w:r>
        <w:rPr>
          <w:spacing w:val="-3"/>
        </w:rPr>
        <w:t xml:space="preserve"> </w:t>
      </w:r>
      <w:r>
        <w:t>technical</w:t>
      </w:r>
      <w:r>
        <w:rPr>
          <w:spacing w:val="-3"/>
        </w:rPr>
        <w:t xml:space="preserve"> </w:t>
      </w:r>
      <w:r>
        <w:t>language</w:t>
      </w:r>
      <w:r>
        <w:rPr>
          <w:spacing w:val="-3"/>
        </w:rPr>
        <w:t xml:space="preserve"> </w:t>
      </w:r>
      <w:r>
        <w:t>and/or</w:t>
      </w:r>
      <w:r>
        <w:rPr>
          <w:spacing w:val="-3"/>
        </w:rPr>
        <w:t xml:space="preserve"> </w:t>
      </w:r>
      <w:r>
        <w:t>at</w:t>
      </w:r>
      <w:r>
        <w:rPr>
          <w:spacing w:val="-3"/>
        </w:rPr>
        <w:t xml:space="preserve"> </w:t>
      </w:r>
      <w:r>
        <w:t>a</w:t>
      </w:r>
      <w:r>
        <w:rPr>
          <w:spacing w:val="-3"/>
        </w:rPr>
        <w:t xml:space="preserve"> </w:t>
      </w:r>
      <w:r>
        <w:t>high</w:t>
      </w:r>
      <w:r>
        <w:rPr>
          <w:spacing w:val="-3"/>
        </w:rPr>
        <w:t xml:space="preserve"> </w:t>
      </w:r>
      <w:r>
        <w:t>reading</w:t>
      </w:r>
      <w:r>
        <w:rPr>
          <w:spacing w:val="-3"/>
        </w:rPr>
        <w:t xml:space="preserve"> </w:t>
      </w:r>
      <w:r>
        <w:t>level</w:t>
      </w:r>
      <w:r>
        <w:rPr>
          <w:spacing w:val="-3"/>
        </w:rPr>
        <w:t xml:space="preserve"> </w:t>
      </w:r>
      <w:r>
        <w:t>or</w:t>
      </w:r>
      <w:r>
        <w:rPr>
          <w:spacing w:val="-3"/>
        </w:rPr>
        <w:t xml:space="preserve"> </w:t>
      </w:r>
      <w:r>
        <w:t>in</w:t>
      </w:r>
      <w:r>
        <w:rPr>
          <w:spacing w:val="-3"/>
        </w:rPr>
        <w:t xml:space="preserve"> </w:t>
      </w:r>
      <w:r>
        <w:t>language</w:t>
      </w:r>
      <w:r>
        <w:rPr>
          <w:spacing w:val="-3"/>
        </w:rPr>
        <w:t xml:space="preserve"> </w:t>
      </w:r>
      <w:r>
        <w:t>that</w:t>
      </w:r>
      <w:r>
        <w:rPr>
          <w:spacing w:val="-3"/>
        </w:rPr>
        <w:t xml:space="preserve"> </w:t>
      </w:r>
      <w:r>
        <w:t>cannot</w:t>
      </w:r>
      <w:r>
        <w:rPr>
          <w:spacing w:val="-3"/>
        </w:rPr>
        <w:t xml:space="preserve"> </w:t>
      </w:r>
      <w:r>
        <w:t>be understood by affected community members.”).</w:t>
      </w:r>
    </w:p>
    <w:p w14:paraId="0E7C9294" w14:textId="77777777" w:rsidR="00D650AF" w:rsidRDefault="00000000">
      <w:pPr>
        <w:ind w:left="100" w:right="233"/>
      </w:pPr>
      <w:r>
        <w:rPr>
          <w:vertAlign w:val="superscript"/>
        </w:rPr>
        <w:t>15</w:t>
      </w:r>
      <w:r>
        <w:rPr>
          <w:spacing w:val="-5"/>
        </w:rPr>
        <w:t xml:space="preserve"> </w:t>
      </w:r>
      <w:r>
        <w:t>EPA,</w:t>
      </w:r>
      <w:r>
        <w:rPr>
          <w:spacing w:val="-5"/>
        </w:rPr>
        <w:t xml:space="preserve"> </w:t>
      </w:r>
      <w:r>
        <w:t>Cumulative</w:t>
      </w:r>
      <w:r>
        <w:rPr>
          <w:spacing w:val="-5"/>
        </w:rPr>
        <w:t xml:space="preserve"> </w:t>
      </w:r>
      <w:r>
        <w:t>Impacts</w:t>
      </w:r>
      <w:r>
        <w:rPr>
          <w:spacing w:val="-5"/>
        </w:rPr>
        <w:t xml:space="preserve"> </w:t>
      </w:r>
      <w:r>
        <w:t>Research,</w:t>
      </w:r>
      <w:r>
        <w:rPr>
          <w:spacing w:val="-5"/>
        </w:rPr>
        <w:t xml:space="preserve"> </w:t>
      </w:r>
      <w:r>
        <w:t>supra,</w:t>
      </w:r>
      <w:r>
        <w:rPr>
          <w:spacing w:val="-5"/>
        </w:rPr>
        <w:t xml:space="preserve"> </w:t>
      </w:r>
      <w:r>
        <w:t>at</w:t>
      </w:r>
      <w:r>
        <w:rPr>
          <w:spacing w:val="-5"/>
        </w:rPr>
        <w:t xml:space="preserve"> </w:t>
      </w:r>
      <w:r>
        <w:t>31</w:t>
      </w:r>
      <w:r>
        <w:rPr>
          <w:spacing w:val="-5"/>
        </w:rPr>
        <w:t xml:space="preserve"> </w:t>
      </w:r>
      <w:r>
        <w:t>(“Cumulative</w:t>
      </w:r>
      <w:r>
        <w:rPr>
          <w:spacing w:val="-5"/>
        </w:rPr>
        <w:t xml:space="preserve"> </w:t>
      </w:r>
      <w:r>
        <w:t>impact</w:t>
      </w:r>
      <w:r>
        <w:rPr>
          <w:spacing w:val="-5"/>
        </w:rPr>
        <w:t xml:space="preserve"> </w:t>
      </w:r>
      <w:r>
        <w:t>assessments</w:t>
      </w:r>
      <w:r>
        <w:rPr>
          <w:spacing w:val="-5"/>
        </w:rPr>
        <w:t xml:space="preserve"> </w:t>
      </w:r>
      <w:r>
        <w:t>to</w:t>
      </w:r>
      <w:r>
        <w:rPr>
          <w:spacing w:val="-5"/>
        </w:rPr>
        <w:t xml:space="preserve"> </w:t>
      </w:r>
      <w:r>
        <w:t>inform</w:t>
      </w:r>
      <w:r>
        <w:rPr>
          <w:spacing w:val="-5"/>
        </w:rPr>
        <w:t xml:space="preserve"> </w:t>
      </w:r>
      <w:r>
        <w:t>local</w:t>
      </w:r>
      <w:r>
        <w:rPr>
          <w:spacing w:val="-5"/>
        </w:rPr>
        <w:t xml:space="preserve"> </w:t>
      </w:r>
      <w:r>
        <w:t>and site-specific</w:t>
      </w:r>
      <w:r>
        <w:rPr>
          <w:spacing w:val="-4"/>
        </w:rPr>
        <w:t xml:space="preserve"> </w:t>
      </w:r>
      <w:r>
        <w:t>decisions</w:t>
      </w:r>
      <w:r>
        <w:rPr>
          <w:spacing w:val="-5"/>
        </w:rPr>
        <w:t xml:space="preserve"> </w:t>
      </w:r>
      <w:r>
        <w:t>often</w:t>
      </w:r>
      <w:r>
        <w:rPr>
          <w:spacing w:val="-4"/>
        </w:rPr>
        <w:t xml:space="preserve"> </w:t>
      </w:r>
      <w:r>
        <w:t>need</w:t>
      </w:r>
      <w:r>
        <w:rPr>
          <w:spacing w:val="-5"/>
        </w:rPr>
        <w:t xml:space="preserve"> </w:t>
      </w:r>
      <w:r>
        <w:t>environmental</w:t>
      </w:r>
      <w:r>
        <w:rPr>
          <w:spacing w:val="-4"/>
        </w:rPr>
        <w:t xml:space="preserve"> </w:t>
      </w:r>
      <w:r>
        <w:t>and</w:t>
      </w:r>
      <w:r>
        <w:rPr>
          <w:spacing w:val="-5"/>
        </w:rPr>
        <w:t xml:space="preserve"> </w:t>
      </w:r>
      <w:r>
        <w:t>socioeconomic</w:t>
      </w:r>
      <w:r>
        <w:rPr>
          <w:spacing w:val="-4"/>
        </w:rPr>
        <w:t xml:space="preserve"> </w:t>
      </w:r>
      <w:r>
        <w:t>data</w:t>
      </w:r>
      <w:r>
        <w:rPr>
          <w:spacing w:val="-5"/>
        </w:rPr>
        <w:t xml:space="preserve"> </w:t>
      </w:r>
      <w:r>
        <w:t>at</w:t>
      </w:r>
      <w:r>
        <w:rPr>
          <w:spacing w:val="-4"/>
        </w:rPr>
        <w:t xml:space="preserve"> </w:t>
      </w:r>
      <w:r>
        <w:t>high-resolution</w:t>
      </w:r>
      <w:r>
        <w:rPr>
          <w:spacing w:val="-5"/>
        </w:rPr>
        <w:t xml:space="preserve"> </w:t>
      </w:r>
      <w:r>
        <w:t>temporal</w:t>
      </w:r>
      <w:r>
        <w:rPr>
          <w:spacing w:val="-4"/>
        </w:rPr>
        <w:t xml:space="preserve"> </w:t>
      </w:r>
      <w:r>
        <w:t>and spatial scales, such as the census block or finer. The costs of monitoring equipment and the lack of data collection</w:t>
      </w:r>
      <w:r>
        <w:rPr>
          <w:spacing w:val="-2"/>
        </w:rPr>
        <w:t xml:space="preserve"> </w:t>
      </w:r>
      <w:r>
        <w:t>infrastructure</w:t>
      </w:r>
      <w:r>
        <w:rPr>
          <w:spacing w:val="-2"/>
        </w:rPr>
        <w:t xml:space="preserve"> </w:t>
      </w:r>
      <w:r>
        <w:t>make</w:t>
      </w:r>
      <w:r>
        <w:rPr>
          <w:spacing w:val="-2"/>
        </w:rPr>
        <w:t xml:space="preserve"> </w:t>
      </w:r>
      <w:r>
        <w:t>it</w:t>
      </w:r>
      <w:r>
        <w:rPr>
          <w:spacing w:val="-2"/>
        </w:rPr>
        <w:t xml:space="preserve"> </w:t>
      </w:r>
      <w:r>
        <w:t>challenging</w:t>
      </w:r>
      <w:r>
        <w:rPr>
          <w:spacing w:val="-2"/>
        </w:rPr>
        <w:t xml:space="preserve"> </w:t>
      </w:r>
      <w:r>
        <w:t>to</w:t>
      </w:r>
      <w:r>
        <w:rPr>
          <w:spacing w:val="-2"/>
        </w:rPr>
        <w:t xml:space="preserve"> </w:t>
      </w:r>
      <w:r>
        <w:t>collect</w:t>
      </w:r>
      <w:r>
        <w:rPr>
          <w:spacing w:val="-2"/>
        </w:rPr>
        <w:t xml:space="preserve"> </w:t>
      </w:r>
      <w:r>
        <w:t>reliable</w:t>
      </w:r>
      <w:r>
        <w:rPr>
          <w:spacing w:val="-2"/>
        </w:rPr>
        <w:t xml:space="preserve"> </w:t>
      </w:r>
      <w:r>
        <w:t>data</w:t>
      </w:r>
      <w:r>
        <w:rPr>
          <w:spacing w:val="-2"/>
        </w:rPr>
        <w:t xml:space="preserve"> </w:t>
      </w:r>
      <w:r>
        <w:t>at</w:t>
      </w:r>
      <w:r>
        <w:rPr>
          <w:spacing w:val="-2"/>
        </w:rPr>
        <w:t xml:space="preserve"> </w:t>
      </w:r>
      <w:r>
        <w:t>fine</w:t>
      </w:r>
      <w:r>
        <w:rPr>
          <w:spacing w:val="-2"/>
        </w:rPr>
        <w:t xml:space="preserve"> </w:t>
      </w:r>
      <w:r>
        <w:t>spatial</w:t>
      </w:r>
      <w:r>
        <w:rPr>
          <w:spacing w:val="-2"/>
        </w:rPr>
        <w:t xml:space="preserve"> </w:t>
      </w:r>
      <w:r>
        <w:t>and</w:t>
      </w:r>
      <w:r>
        <w:rPr>
          <w:spacing w:val="-2"/>
        </w:rPr>
        <w:t xml:space="preserve"> </w:t>
      </w:r>
      <w:r>
        <w:t>temporal</w:t>
      </w:r>
      <w:r>
        <w:rPr>
          <w:spacing w:val="-2"/>
        </w:rPr>
        <w:t xml:space="preserve"> </w:t>
      </w:r>
      <w:r>
        <w:t>scales.”).</w:t>
      </w:r>
    </w:p>
    <w:p w14:paraId="5C0FF07C" w14:textId="77777777" w:rsidR="00D650AF" w:rsidRDefault="00D650AF">
      <w:pPr>
        <w:sectPr w:rsidR="00D650AF">
          <w:pgSz w:w="12240" w:h="15840"/>
          <w:pgMar w:top="1360" w:right="1340" w:bottom="280" w:left="1340" w:header="720" w:footer="720" w:gutter="0"/>
          <w:cols w:space="720"/>
        </w:sectPr>
      </w:pPr>
    </w:p>
    <w:p w14:paraId="6A89B224" w14:textId="77777777" w:rsidR="00D650AF" w:rsidRDefault="00000000">
      <w:pPr>
        <w:pStyle w:val="BodyText"/>
        <w:spacing w:before="80" w:line="276" w:lineRule="auto"/>
        <w:ind w:left="100" w:right="128" w:firstLine="840"/>
      </w:pPr>
      <w:r>
        <w:lastRenderedPageBreak/>
        <w:t>The demographic category also incorporates racial demographics</w:t>
      </w:r>
      <w:r>
        <w:rPr>
          <w:vertAlign w:val="superscript"/>
        </w:rPr>
        <w:t>16</w:t>
      </w:r>
      <w:r>
        <w:t xml:space="preserve"> based on the close correlation between race and exposure to environmental hazards.</w:t>
      </w:r>
      <w:r>
        <w:rPr>
          <w:vertAlign w:val="superscript"/>
        </w:rPr>
        <w:t>17</w:t>
      </w:r>
      <w:r>
        <w:t xml:space="preserve"> Racial demographics are a significant predictor of the distribution of environmental burdens because of the legacy of racial segregation and discrimination, and the “spatially concentrated disproportionate pollution burdens in communities of color” that increase their risk of exposure to environmental harms.</w:t>
      </w:r>
      <w:r>
        <w:rPr>
          <w:vertAlign w:val="superscript"/>
        </w:rPr>
        <w:t>18</w:t>
      </w:r>
      <w:r>
        <w:t xml:space="preserve"> More</w:t>
      </w:r>
      <w:r>
        <w:rPr>
          <w:spacing w:val="-4"/>
        </w:rPr>
        <w:t xml:space="preserve"> </w:t>
      </w:r>
      <w:r>
        <w:t>information</w:t>
      </w:r>
      <w:r>
        <w:rPr>
          <w:spacing w:val="-4"/>
        </w:rPr>
        <w:t xml:space="preserve"> </w:t>
      </w:r>
      <w:r>
        <w:t>about</w:t>
      </w:r>
      <w:r>
        <w:rPr>
          <w:spacing w:val="-4"/>
        </w:rPr>
        <w:t xml:space="preserve"> </w:t>
      </w:r>
      <w:r>
        <w:t>this</w:t>
      </w:r>
      <w:r>
        <w:rPr>
          <w:spacing w:val="-4"/>
        </w:rPr>
        <w:t xml:space="preserve"> </w:t>
      </w:r>
      <w:r>
        <w:t>designation,</w:t>
      </w:r>
      <w:r>
        <w:rPr>
          <w:spacing w:val="-4"/>
        </w:rPr>
        <w:t xml:space="preserve"> </w:t>
      </w:r>
      <w:r>
        <w:t>including</w:t>
      </w:r>
      <w:r>
        <w:rPr>
          <w:spacing w:val="-4"/>
        </w:rPr>
        <w:t xml:space="preserve"> </w:t>
      </w:r>
      <w:r>
        <w:t>an</w:t>
      </w:r>
      <w:r>
        <w:rPr>
          <w:spacing w:val="-4"/>
        </w:rPr>
        <w:t xml:space="preserve"> </w:t>
      </w:r>
      <w:r>
        <w:t>analysis</w:t>
      </w:r>
      <w:r>
        <w:rPr>
          <w:spacing w:val="-4"/>
        </w:rPr>
        <w:t xml:space="preserve"> </w:t>
      </w:r>
      <w:r>
        <w:t>of</w:t>
      </w:r>
      <w:r>
        <w:rPr>
          <w:spacing w:val="-4"/>
        </w:rPr>
        <w:t xml:space="preserve"> </w:t>
      </w:r>
      <w:r>
        <w:t>the</w:t>
      </w:r>
      <w:r>
        <w:rPr>
          <w:spacing w:val="-4"/>
        </w:rPr>
        <w:t xml:space="preserve"> </w:t>
      </w:r>
      <w:r>
        <w:t>potential</w:t>
      </w:r>
      <w:r>
        <w:rPr>
          <w:spacing w:val="-4"/>
        </w:rPr>
        <w:t xml:space="preserve"> </w:t>
      </w:r>
      <w:r>
        <w:t>legal</w:t>
      </w:r>
      <w:r>
        <w:rPr>
          <w:spacing w:val="-4"/>
        </w:rPr>
        <w:t xml:space="preserve"> </w:t>
      </w:r>
      <w:r>
        <w:t>implications of including this factor, is included below in the section titled “Use of race in designation of environmental justice area.”</w:t>
      </w:r>
    </w:p>
    <w:p w14:paraId="3F83FAE6" w14:textId="77777777" w:rsidR="00D650AF" w:rsidRDefault="00000000">
      <w:pPr>
        <w:pStyle w:val="Heading1"/>
        <w:numPr>
          <w:ilvl w:val="0"/>
          <w:numId w:val="1"/>
        </w:numPr>
        <w:tabs>
          <w:tab w:val="left" w:pos="820"/>
        </w:tabs>
      </w:pPr>
      <w:r>
        <w:t xml:space="preserve">Susceptibility </w:t>
      </w:r>
      <w:r>
        <w:rPr>
          <w:spacing w:val="-2"/>
        </w:rPr>
        <w:t>metrics</w:t>
      </w:r>
    </w:p>
    <w:p w14:paraId="453D3201" w14:textId="77777777" w:rsidR="00D650AF" w:rsidRDefault="00000000">
      <w:pPr>
        <w:pStyle w:val="BodyText"/>
        <w:spacing w:before="41" w:line="276" w:lineRule="auto"/>
        <w:ind w:left="100" w:firstLine="720"/>
      </w:pPr>
      <w:r>
        <w:t>In addition to the single demographic metrics, the bill includes areas that have been designated</w:t>
      </w:r>
      <w:r>
        <w:rPr>
          <w:spacing w:val="-4"/>
        </w:rPr>
        <w:t xml:space="preserve"> </w:t>
      </w:r>
      <w:r>
        <w:t>as</w:t>
      </w:r>
      <w:r>
        <w:rPr>
          <w:spacing w:val="-4"/>
        </w:rPr>
        <w:t xml:space="preserve"> </w:t>
      </w:r>
      <w:r>
        <w:t>highly</w:t>
      </w:r>
      <w:r>
        <w:rPr>
          <w:spacing w:val="-4"/>
        </w:rPr>
        <w:t xml:space="preserve"> </w:t>
      </w:r>
      <w:r>
        <w:t>susceptible</w:t>
      </w:r>
      <w:r>
        <w:rPr>
          <w:spacing w:val="-4"/>
        </w:rPr>
        <w:t xml:space="preserve"> </w:t>
      </w:r>
      <w:r>
        <w:t>to</w:t>
      </w:r>
      <w:r>
        <w:rPr>
          <w:spacing w:val="-4"/>
        </w:rPr>
        <w:t xml:space="preserve"> </w:t>
      </w:r>
      <w:r>
        <w:t>environmental</w:t>
      </w:r>
      <w:r>
        <w:rPr>
          <w:spacing w:val="-4"/>
        </w:rPr>
        <w:t xml:space="preserve"> </w:t>
      </w:r>
      <w:r>
        <w:t>pollution</w:t>
      </w:r>
      <w:r>
        <w:rPr>
          <w:spacing w:val="-4"/>
        </w:rPr>
        <w:t xml:space="preserve"> </w:t>
      </w:r>
      <w:r>
        <w:t>by</w:t>
      </w:r>
      <w:r>
        <w:rPr>
          <w:spacing w:val="-4"/>
        </w:rPr>
        <w:t xml:space="preserve"> </w:t>
      </w:r>
      <w:r>
        <w:t>the</w:t>
      </w:r>
      <w:r>
        <w:rPr>
          <w:spacing w:val="-4"/>
        </w:rPr>
        <w:t xml:space="preserve"> </w:t>
      </w:r>
      <w:r>
        <w:t>United</w:t>
      </w:r>
      <w:r>
        <w:rPr>
          <w:spacing w:val="-4"/>
        </w:rPr>
        <w:t xml:space="preserve"> </w:t>
      </w:r>
      <w:r>
        <w:t>States</w:t>
      </w:r>
      <w:r>
        <w:rPr>
          <w:spacing w:val="-4"/>
        </w:rPr>
        <w:t xml:space="preserve"> </w:t>
      </w:r>
      <w:r>
        <w:t>Environmental Protection Agency’s demographic indices.</w:t>
      </w:r>
      <w:r>
        <w:rPr>
          <w:vertAlign w:val="superscript"/>
        </w:rPr>
        <w:t>19</w:t>
      </w:r>
      <w:r>
        <w:t xml:space="preserve"> While these indices rely on much of the same demographic data included in the demographic definition, a high overall score on these susceptibility metrics may help to identify additional communities that fall slightly below the demographic thresholds identified but that are nevertheless still at heightened risk of environmental hazards. As discussed in the section below on the use of race in designating environmental justice areas, the United States Environmental Protection Agency EJSCREEN demographic index relies in part on racial demographics.</w:t>
      </w:r>
    </w:p>
    <w:p w14:paraId="57B43225" w14:textId="77777777" w:rsidR="00D650AF" w:rsidRDefault="00000000">
      <w:pPr>
        <w:pStyle w:val="Heading1"/>
        <w:numPr>
          <w:ilvl w:val="0"/>
          <w:numId w:val="1"/>
        </w:numPr>
        <w:tabs>
          <w:tab w:val="left" w:pos="820"/>
        </w:tabs>
      </w:pPr>
      <w:r>
        <w:rPr>
          <w:spacing w:val="-2"/>
        </w:rPr>
        <w:t>Tribal</w:t>
      </w:r>
      <w:r>
        <w:rPr>
          <w:spacing w:val="-6"/>
        </w:rPr>
        <w:t xml:space="preserve"> </w:t>
      </w:r>
      <w:r>
        <w:rPr>
          <w:spacing w:val="-4"/>
        </w:rPr>
        <w:t>land</w:t>
      </w:r>
    </w:p>
    <w:p w14:paraId="36F490DB" w14:textId="77777777" w:rsidR="00D650AF" w:rsidRDefault="00000000">
      <w:pPr>
        <w:pStyle w:val="BodyText"/>
        <w:spacing w:before="41" w:line="276" w:lineRule="auto"/>
        <w:ind w:left="100" w:right="174" w:firstLine="720"/>
      </w:pPr>
      <w:r>
        <w:t>The</w:t>
      </w:r>
      <w:r>
        <w:rPr>
          <w:spacing w:val="-2"/>
        </w:rPr>
        <w:t xml:space="preserve"> </w:t>
      </w:r>
      <w:r>
        <w:t>designation</w:t>
      </w:r>
      <w:r>
        <w:rPr>
          <w:spacing w:val="-2"/>
        </w:rPr>
        <w:t xml:space="preserve"> </w:t>
      </w:r>
      <w:r>
        <w:t>of</w:t>
      </w:r>
      <w:r>
        <w:rPr>
          <w:spacing w:val="-2"/>
        </w:rPr>
        <w:t xml:space="preserve"> </w:t>
      </w:r>
      <w:r>
        <w:t>lands</w:t>
      </w:r>
      <w:r>
        <w:rPr>
          <w:spacing w:val="-2"/>
        </w:rPr>
        <w:t xml:space="preserve"> </w:t>
      </w:r>
      <w:r>
        <w:t>of</w:t>
      </w:r>
      <w:r>
        <w:rPr>
          <w:spacing w:val="-2"/>
        </w:rPr>
        <w:t xml:space="preserve"> </w:t>
      </w:r>
      <w:r>
        <w:t>federally</w:t>
      </w:r>
      <w:r>
        <w:rPr>
          <w:spacing w:val="-2"/>
        </w:rPr>
        <w:t xml:space="preserve"> </w:t>
      </w:r>
      <w:r>
        <w:t>recognized</w:t>
      </w:r>
      <w:r>
        <w:rPr>
          <w:spacing w:val="-2"/>
        </w:rPr>
        <w:t xml:space="preserve"> </w:t>
      </w:r>
      <w:r>
        <w:t>tribes</w:t>
      </w:r>
      <w:r>
        <w:rPr>
          <w:spacing w:val="-2"/>
        </w:rPr>
        <w:t xml:space="preserve"> </w:t>
      </w:r>
      <w:r>
        <w:t>as</w:t>
      </w:r>
      <w:r>
        <w:rPr>
          <w:spacing w:val="-2"/>
        </w:rPr>
        <w:t xml:space="preserve"> </w:t>
      </w:r>
      <w:r>
        <w:t>“environmental</w:t>
      </w:r>
      <w:r>
        <w:rPr>
          <w:spacing w:val="-2"/>
        </w:rPr>
        <w:t xml:space="preserve"> </w:t>
      </w:r>
      <w:r>
        <w:t>justice</w:t>
      </w:r>
      <w:r>
        <w:rPr>
          <w:spacing w:val="-2"/>
        </w:rPr>
        <w:t xml:space="preserve"> </w:t>
      </w:r>
      <w:r>
        <w:t>areas” serves two purposes. First, it recognizes that Indigenous communities bear a disproportionate share</w:t>
      </w:r>
      <w:r>
        <w:rPr>
          <w:spacing w:val="-4"/>
        </w:rPr>
        <w:t xml:space="preserve"> </w:t>
      </w:r>
      <w:r>
        <w:t>of</w:t>
      </w:r>
      <w:r>
        <w:rPr>
          <w:spacing w:val="-4"/>
        </w:rPr>
        <w:t xml:space="preserve"> </w:t>
      </w:r>
      <w:r>
        <w:t>pollution.</w:t>
      </w:r>
      <w:r>
        <w:rPr>
          <w:vertAlign w:val="superscript"/>
        </w:rPr>
        <w:t>20</w:t>
      </w:r>
      <w:r>
        <w:rPr>
          <w:spacing w:val="-5"/>
        </w:rPr>
        <w:t xml:space="preserve"> </w:t>
      </w:r>
      <w:r>
        <w:t>Second,</w:t>
      </w:r>
      <w:r>
        <w:rPr>
          <w:spacing w:val="-4"/>
        </w:rPr>
        <w:t xml:space="preserve"> </w:t>
      </w:r>
      <w:r>
        <w:t>it</w:t>
      </w:r>
      <w:r>
        <w:rPr>
          <w:spacing w:val="-4"/>
        </w:rPr>
        <w:t xml:space="preserve"> </w:t>
      </w:r>
      <w:r>
        <w:t>recognizes</w:t>
      </w:r>
      <w:r>
        <w:rPr>
          <w:spacing w:val="-4"/>
        </w:rPr>
        <w:t xml:space="preserve"> </w:t>
      </w:r>
      <w:r>
        <w:t>the</w:t>
      </w:r>
      <w:r>
        <w:rPr>
          <w:spacing w:val="-4"/>
        </w:rPr>
        <w:t xml:space="preserve"> </w:t>
      </w:r>
      <w:r>
        <w:t>unique</w:t>
      </w:r>
      <w:r>
        <w:rPr>
          <w:spacing w:val="-4"/>
        </w:rPr>
        <w:t xml:space="preserve"> </w:t>
      </w:r>
      <w:r>
        <w:t>status</w:t>
      </w:r>
      <w:r>
        <w:rPr>
          <w:spacing w:val="-4"/>
        </w:rPr>
        <w:t xml:space="preserve"> </w:t>
      </w:r>
      <w:r>
        <w:t>and</w:t>
      </w:r>
      <w:r>
        <w:rPr>
          <w:spacing w:val="-4"/>
        </w:rPr>
        <w:t xml:space="preserve"> </w:t>
      </w:r>
      <w:r>
        <w:t>sovereignty</w:t>
      </w:r>
      <w:r>
        <w:rPr>
          <w:spacing w:val="-4"/>
        </w:rPr>
        <w:t xml:space="preserve"> </w:t>
      </w:r>
      <w:r>
        <w:t>of</w:t>
      </w:r>
      <w:r>
        <w:rPr>
          <w:spacing w:val="-4"/>
        </w:rPr>
        <w:t xml:space="preserve"> </w:t>
      </w:r>
      <w:r>
        <w:t>tribal</w:t>
      </w:r>
      <w:r>
        <w:rPr>
          <w:spacing w:val="-4"/>
        </w:rPr>
        <w:t xml:space="preserve"> </w:t>
      </w:r>
      <w:r>
        <w:t>nations</w:t>
      </w:r>
      <w:r>
        <w:rPr>
          <w:spacing w:val="-4"/>
        </w:rPr>
        <w:t xml:space="preserve"> </w:t>
      </w:r>
      <w:r>
        <w:t>by ensuring that they are included and adequately consulted in decisions impacting their land.</w:t>
      </w:r>
    </w:p>
    <w:p w14:paraId="5F65EC1C" w14:textId="77777777" w:rsidR="00D650AF" w:rsidRDefault="00000000">
      <w:pPr>
        <w:pStyle w:val="Heading1"/>
        <w:numPr>
          <w:ilvl w:val="0"/>
          <w:numId w:val="1"/>
        </w:numPr>
        <w:tabs>
          <w:tab w:val="left" w:pos="820"/>
        </w:tabs>
      </w:pPr>
      <w:r>
        <w:t xml:space="preserve">Agency </w:t>
      </w:r>
      <w:r>
        <w:rPr>
          <w:spacing w:val="-2"/>
        </w:rPr>
        <w:t>approval</w:t>
      </w:r>
    </w:p>
    <w:p w14:paraId="641FE41B" w14:textId="77777777" w:rsidR="00D650AF" w:rsidRDefault="00D650AF">
      <w:pPr>
        <w:pStyle w:val="BodyText"/>
        <w:rPr>
          <w:b/>
          <w:sz w:val="20"/>
        </w:rPr>
      </w:pPr>
    </w:p>
    <w:p w14:paraId="367EDC44" w14:textId="77777777" w:rsidR="00D650AF" w:rsidRDefault="00D650AF">
      <w:pPr>
        <w:pStyle w:val="BodyText"/>
        <w:rPr>
          <w:b/>
          <w:sz w:val="20"/>
        </w:rPr>
      </w:pPr>
    </w:p>
    <w:p w14:paraId="3BD4EB3B" w14:textId="77777777" w:rsidR="00D650AF" w:rsidRDefault="00D650AF">
      <w:pPr>
        <w:pStyle w:val="BodyText"/>
        <w:rPr>
          <w:b/>
          <w:sz w:val="20"/>
        </w:rPr>
      </w:pPr>
    </w:p>
    <w:p w14:paraId="7250F7B2" w14:textId="77777777" w:rsidR="00D650AF" w:rsidRDefault="00000000">
      <w:pPr>
        <w:pStyle w:val="BodyText"/>
        <w:rPr>
          <w:b/>
          <w:sz w:val="22"/>
        </w:rPr>
      </w:pPr>
      <w:r>
        <w:rPr>
          <w:noProof/>
        </w:rPr>
        <mc:AlternateContent>
          <mc:Choice Requires="wps">
            <w:drawing>
              <wp:anchor distT="0" distB="0" distL="0" distR="0" simplePos="0" relativeHeight="487589376" behindDoc="1" locked="0" layoutInCell="1" allowOverlap="1" wp14:anchorId="67E1CC04" wp14:editId="5C5CAA31">
                <wp:simplePos x="0" y="0"/>
                <wp:positionH relativeFrom="page">
                  <wp:posOffset>914400</wp:posOffset>
                </wp:positionH>
                <wp:positionV relativeFrom="paragraph">
                  <wp:posOffset>176399</wp:posOffset>
                </wp:positionV>
                <wp:extent cx="1828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74BF55" id="Graphic 4" o:spid="_x0000_s1026" style="position:absolute;margin-left:1in;margin-top:13.9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" path="m,l1828800,e" filled="f">
                <v:path arrowok="t"/>
                <w10:wrap type="topAndBottom" anchorx="page"/>
              </v:shape>
            </w:pict>
          </mc:Fallback>
        </mc:AlternateContent>
      </w:r>
    </w:p>
    <w:p w14:paraId="273B4986" w14:textId="77777777" w:rsidR="00D650AF" w:rsidRDefault="00000000">
      <w:pPr>
        <w:spacing w:before="109"/>
        <w:ind w:left="100" w:right="174"/>
      </w:pPr>
      <w:r>
        <w:rPr>
          <w:vertAlign w:val="superscript"/>
        </w:rPr>
        <w:t>16</w:t>
      </w:r>
      <w:r>
        <w:t xml:space="preserve"> Although the Census and American Community Survey do not currently include Middle Eastern or North</w:t>
      </w:r>
      <w:r>
        <w:rPr>
          <w:spacing w:val="-3"/>
        </w:rPr>
        <w:t xml:space="preserve"> </w:t>
      </w:r>
      <w:r>
        <w:t>African</w:t>
      </w:r>
      <w:r>
        <w:rPr>
          <w:spacing w:val="-3"/>
        </w:rPr>
        <w:t xml:space="preserve"> </w:t>
      </w:r>
      <w:r>
        <w:t>as</w:t>
      </w:r>
      <w:r>
        <w:rPr>
          <w:spacing w:val="-3"/>
        </w:rPr>
        <w:t xml:space="preserve"> </w:t>
      </w:r>
      <w:r>
        <w:t>a</w:t>
      </w:r>
      <w:r>
        <w:rPr>
          <w:spacing w:val="-3"/>
        </w:rPr>
        <w:t xml:space="preserve"> </w:t>
      </w:r>
      <w:r>
        <w:t>racial</w:t>
      </w:r>
      <w:r>
        <w:rPr>
          <w:spacing w:val="-3"/>
        </w:rPr>
        <w:t xml:space="preserve"> </w:t>
      </w:r>
      <w:r>
        <w:t>status</w:t>
      </w:r>
      <w:r>
        <w:rPr>
          <w:spacing w:val="-3"/>
        </w:rPr>
        <w:t xml:space="preserve"> </w:t>
      </w:r>
      <w:r>
        <w:t>option,</w:t>
      </w:r>
      <w:r>
        <w:rPr>
          <w:spacing w:val="-3"/>
        </w:rPr>
        <w:t xml:space="preserve"> </w:t>
      </w:r>
      <w:r>
        <w:t>it</w:t>
      </w:r>
      <w:r>
        <w:rPr>
          <w:spacing w:val="-3"/>
        </w:rPr>
        <w:t xml:space="preserve"> </w:t>
      </w:r>
      <w:r>
        <w:t>is</w:t>
      </w:r>
      <w:r>
        <w:rPr>
          <w:spacing w:val="-3"/>
        </w:rPr>
        <w:t xml:space="preserve"> </w:t>
      </w:r>
      <w:r>
        <w:t>included</w:t>
      </w:r>
      <w:r>
        <w:rPr>
          <w:spacing w:val="-3"/>
        </w:rPr>
        <w:t xml:space="preserve"> </w:t>
      </w:r>
      <w:r>
        <w:t>in</w:t>
      </w:r>
      <w:r>
        <w:rPr>
          <w:spacing w:val="-3"/>
        </w:rPr>
        <w:t xml:space="preserve"> </w:t>
      </w:r>
      <w:r>
        <w:t>the</w:t>
      </w:r>
      <w:r>
        <w:rPr>
          <w:spacing w:val="-3"/>
        </w:rPr>
        <w:t xml:space="preserve"> </w:t>
      </w:r>
      <w:r>
        <w:t>bill</w:t>
      </w:r>
      <w:r>
        <w:rPr>
          <w:spacing w:val="-3"/>
        </w:rPr>
        <w:t xml:space="preserve"> </w:t>
      </w:r>
      <w:r>
        <w:t>due</w:t>
      </w:r>
      <w:r>
        <w:rPr>
          <w:spacing w:val="-3"/>
        </w:rPr>
        <w:t xml:space="preserve"> </w:t>
      </w:r>
      <w:r>
        <w:t>to</w:t>
      </w:r>
      <w:r>
        <w:rPr>
          <w:spacing w:val="-3"/>
        </w:rPr>
        <w:t xml:space="preserve"> </w:t>
      </w:r>
      <w:r>
        <w:t>the</w:t>
      </w:r>
      <w:r>
        <w:rPr>
          <w:spacing w:val="-3"/>
        </w:rPr>
        <w:t xml:space="preserve"> </w:t>
      </w:r>
      <w:r>
        <w:t>U.S.</w:t>
      </w:r>
      <w:r>
        <w:rPr>
          <w:spacing w:val="-3"/>
        </w:rPr>
        <w:t xml:space="preserve"> </w:t>
      </w:r>
      <w:r>
        <w:t>EEOC’s</w:t>
      </w:r>
      <w:r>
        <w:rPr>
          <w:spacing w:val="-3"/>
        </w:rPr>
        <w:t xml:space="preserve"> </w:t>
      </w:r>
      <w:r>
        <w:t>recent</w:t>
      </w:r>
      <w:r>
        <w:rPr>
          <w:spacing w:val="-3"/>
        </w:rPr>
        <w:t xml:space="preserve"> </w:t>
      </w:r>
      <w:r>
        <w:t>listing</w:t>
      </w:r>
      <w:r>
        <w:rPr>
          <w:spacing w:val="-3"/>
        </w:rPr>
        <w:t xml:space="preserve"> </w:t>
      </w:r>
      <w:r>
        <w:t>of this status and in anticipation of its inclusion in future surveys.</w:t>
      </w:r>
    </w:p>
    <w:p w14:paraId="288055D9" w14:textId="77777777" w:rsidR="00D650AF" w:rsidRDefault="00000000">
      <w:pPr>
        <w:ind w:left="100"/>
      </w:pPr>
      <w:r>
        <w:rPr>
          <w:rFonts w:ascii="Arial" w:hAnsi="Arial"/>
          <w:position w:val="8"/>
          <w:sz w:val="12"/>
        </w:rPr>
        <w:t>17</w:t>
      </w:r>
      <w:r>
        <w:rPr>
          <w:rFonts w:ascii="Arial" w:hAnsi="Arial"/>
          <w:spacing w:val="22"/>
          <w:position w:val="8"/>
          <w:sz w:val="12"/>
        </w:rPr>
        <w:t xml:space="preserve"> </w:t>
      </w:r>
      <w:r>
        <w:t xml:space="preserve">Bullard, R. D., </w:t>
      </w:r>
      <w:proofErr w:type="spellStart"/>
      <w:r>
        <w:t>Mohai</w:t>
      </w:r>
      <w:proofErr w:type="spellEnd"/>
      <w:r>
        <w:t>, P., Saha, R., &amp; Wright, B., Toxic Wastes and Race at Twenty 1987–2007: Grassroots Struggles to Dismantle Environmental Racism in the United States (2007); Anderton, D. L., Anderson,</w:t>
      </w:r>
      <w:r>
        <w:rPr>
          <w:spacing w:val="-4"/>
        </w:rPr>
        <w:t xml:space="preserve"> </w:t>
      </w:r>
      <w:r>
        <w:t>A.</w:t>
      </w:r>
      <w:r>
        <w:rPr>
          <w:spacing w:val="-4"/>
        </w:rPr>
        <w:t xml:space="preserve"> </w:t>
      </w:r>
      <w:r>
        <w:t>B.,</w:t>
      </w:r>
      <w:r>
        <w:rPr>
          <w:spacing w:val="-4"/>
        </w:rPr>
        <w:t xml:space="preserve"> </w:t>
      </w:r>
      <w:r>
        <w:t>Oakes,</w:t>
      </w:r>
      <w:r>
        <w:rPr>
          <w:spacing w:val="-4"/>
        </w:rPr>
        <w:t xml:space="preserve"> </w:t>
      </w:r>
      <w:r>
        <w:t>J.</w:t>
      </w:r>
      <w:r>
        <w:rPr>
          <w:spacing w:val="-4"/>
        </w:rPr>
        <w:t xml:space="preserve"> </w:t>
      </w:r>
      <w:r>
        <w:t>M.,</w:t>
      </w:r>
      <w:r>
        <w:rPr>
          <w:spacing w:val="-4"/>
        </w:rPr>
        <w:t xml:space="preserve"> </w:t>
      </w:r>
      <w:r>
        <w:t>&amp;</w:t>
      </w:r>
      <w:r>
        <w:rPr>
          <w:spacing w:val="-4"/>
        </w:rPr>
        <w:t xml:space="preserve"> </w:t>
      </w:r>
      <w:r>
        <w:t>Fraser,</w:t>
      </w:r>
      <w:r>
        <w:rPr>
          <w:spacing w:val="-4"/>
        </w:rPr>
        <w:t xml:space="preserve"> </w:t>
      </w:r>
      <w:r>
        <w:t>M.</w:t>
      </w:r>
      <w:r>
        <w:rPr>
          <w:spacing w:val="-4"/>
        </w:rPr>
        <w:t xml:space="preserve"> </w:t>
      </w:r>
      <w:r>
        <w:t>R.,</w:t>
      </w:r>
      <w:r>
        <w:rPr>
          <w:spacing w:val="-4"/>
        </w:rPr>
        <w:t xml:space="preserve"> </w:t>
      </w:r>
      <w:r>
        <w:t>Environmental</w:t>
      </w:r>
      <w:r>
        <w:rPr>
          <w:spacing w:val="-4"/>
        </w:rPr>
        <w:t xml:space="preserve"> </w:t>
      </w:r>
      <w:r>
        <w:t>Equity:</w:t>
      </w:r>
      <w:r>
        <w:rPr>
          <w:spacing w:val="-4"/>
        </w:rPr>
        <w:t xml:space="preserve"> </w:t>
      </w:r>
      <w:r>
        <w:t>The</w:t>
      </w:r>
      <w:r>
        <w:rPr>
          <w:spacing w:val="-4"/>
        </w:rPr>
        <w:t xml:space="preserve"> </w:t>
      </w:r>
      <w:r>
        <w:t>Demographics</w:t>
      </w:r>
      <w:r>
        <w:rPr>
          <w:spacing w:val="-4"/>
        </w:rPr>
        <w:t xml:space="preserve"> </w:t>
      </w:r>
      <w:r>
        <w:t>of</w:t>
      </w:r>
      <w:r>
        <w:rPr>
          <w:spacing w:val="-4"/>
        </w:rPr>
        <w:t xml:space="preserve"> </w:t>
      </w:r>
      <w:r>
        <w:t>Dumping. Demography, 31(2), 229–248 (1994).</w:t>
      </w:r>
    </w:p>
    <w:p w14:paraId="5E6A3A33" w14:textId="77777777" w:rsidR="00D650AF" w:rsidRDefault="00000000">
      <w:pPr>
        <w:ind w:left="100" w:right="1082"/>
      </w:pPr>
      <w:r>
        <w:rPr>
          <w:rFonts w:ascii="Arial"/>
          <w:position w:val="8"/>
          <w:sz w:val="12"/>
        </w:rPr>
        <w:t>18</w:t>
      </w:r>
      <w:r>
        <w:rPr>
          <w:rFonts w:ascii="Arial"/>
          <w:spacing w:val="18"/>
          <w:position w:val="8"/>
          <w:sz w:val="12"/>
        </w:rPr>
        <w:t xml:space="preserve"> </w:t>
      </w:r>
      <w:r>
        <w:t>Equitable</w:t>
      </w:r>
      <w:r>
        <w:rPr>
          <w:spacing w:val="-4"/>
        </w:rPr>
        <w:t xml:space="preserve"> </w:t>
      </w:r>
      <w:r>
        <w:t>&amp;</w:t>
      </w:r>
      <w:r>
        <w:rPr>
          <w:spacing w:val="-4"/>
        </w:rPr>
        <w:t xml:space="preserve"> </w:t>
      </w:r>
      <w:r>
        <w:t>Just</w:t>
      </w:r>
      <w:r>
        <w:rPr>
          <w:spacing w:val="-4"/>
        </w:rPr>
        <w:t xml:space="preserve"> </w:t>
      </w:r>
      <w:r>
        <w:t>National</w:t>
      </w:r>
      <w:r>
        <w:rPr>
          <w:spacing w:val="-4"/>
        </w:rPr>
        <w:t xml:space="preserve"> </w:t>
      </w:r>
      <w:r>
        <w:t>Climate</w:t>
      </w:r>
      <w:r>
        <w:rPr>
          <w:spacing w:val="-4"/>
        </w:rPr>
        <w:t xml:space="preserve"> </w:t>
      </w:r>
      <w:r>
        <w:t>Platform,</w:t>
      </w:r>
      <w:r>
        <w:rPr>
          <w:spacing w:val="-4"/>
        </w:rPr>
        <w:t xml:space="preserve"> </w:t>
      </w:r>
      <w:r>
        <w:t>Approaches</w:t>
      </w:r>
      <w:r>
        <w:rPr>
          <w:spacing w:val="-4"/>
        </w:rPr>
        <w:t xml:space="preserve"> </w:t>
      </w:r>
      <w:r>
        <w:t>to</w:t>
      </w:r>
      <w:r>
        <w:rPr>
          <w:spacing w:val="-4"/>
        </w:rPr>
        <w:t xml:space="preserve"> </w:t>
      </w:r>
      <w:r>
        <w:t>Defining</w:t>
      </w:r>
      <w:r>
        <w:rPr>
          <w:spacing w:val="-4"/>
        </w:rPr>
        <w:t xml:space="preserve"> </w:t>
      </w:r>
      <w:r>
        <w:t>Environmental</w:t>
      </w:r>
      <w:r>
        <w:rPr>
          <w:spacing w:val="-4"/>
        </w:rPr>
        <w:t xml:space="preserve"> </w:t>
      </w:r>
      <w:r>
        <w:t>Justice Community for Mandatory Emissions Reduction Policy (Sept. 2021),</w:t>
      </w:r>
    </w:p>
    <w:p w14:paraId="2C47A499" w14:textId="77777777" w:rsidR="00D650AF" w:rsidRDefault="00000000">
      <w:pPr>
        <w:ind w:left="100" w:right="224"/>
      </w:pPr>
      <w:r>
        <w:rPr>
          <w:spacing w:val="-2"/>
        </w:rPr>
        <w:t>https://</w:t>
      </w:r>
      <w:hyperlink r:id="rId11">
        <w:r>
          <w:rPr>
            <w:spacing w:val="-2"/>
          </w:rPr>
          <w:t>www.weact.org/wp-content/uploads/2023/05/Defining-EJ-Community-for-Mandatory-Emissions-</w:t>
        </w:r>
      </w:hyperlink>
      <w:r>
        <w:rPr>
          <w:spacing w:val="-2"/>
        </w:rPr>
        <w:t xml:space="preserve"> Reduction-Policy.pdf.</w:t>
      </w:r>
    </w:p>
    <w:p w14:paraId="538254E7" w14:textId="77777777" w:rsidR="00D650AF" w:rsidRDefault="00000000">
      <w:pPr>
        <w:ind w:left="100" w:right="109"/>
      </w:pPr>
      <w:r>
        <w:rPr>
          <w:vertAlign w:val="superscript"/>
        </w:rPr>
        <w:t>19</w:t>
      </w:r>
      <w:r>
        <w:t xml:space="preserve"> U.S. Environmental Protection Agency, EJSCREEN Technical Documentation 24-30 (2022), </w:t>
      </w:r>
      <w:r>
        <w:rPr>
          <w:spacing w:val="-2"/>
        </w:rPr>
        <w:t>https://</w:t>
      </w:r>
      <w:hyperlink r:id="rId12">
        <w:r>
          <w:rPr>
            <w:spacing w:val="-2"/>
          </w:rPr>
          <w:t>www.epa.gov/system/files/documents/2023-01/EJScreen%20Technical%20Documentation%20Oct</w:t>
        </w:r>
      </w:hyperlink>
      <w:r>
        <w:rPr>
          <w:spacing w:val="-2"/>
        </w:rPr>
        <w:t xml:space="preserve"> ober%202022.pdf.</w:t>
      </w:r>
    </w:p>
    <w:p w14:paraId="49FFFB28" w14:textId="77777777" w:rsidR="00D650AF" w:rsidRDefault="00000000">
      <w:pPr>
        <w:ind w:left="100" w:right="912"/>
      </w:pPr>
      <w:r>
        <w:rPr>
          <w:vertAlign w:val="superscript"/>
        </w:rPr>
        <w:t>20</w:t>
      </w:r>
      <w:r>
        <w:rPr>
          <w:spacing w:val="-6"/>
        </w:rPr>
        <w:t xml:space="preserve"> </w:t>
      </w:r>
      <w:r>
        <w:t>Maggie</w:t>
      </w:r>
      <w:r>
        <w:rPr>
          <w:spacing w:val="-6"/>
        </w:rPr>
        <w:t xml:space="preserve"> </w:t>
      </w:r>
      <w:r>
        <w:t>Li</w:t>
      </w:r>
      <w:r>
        <w:rPr>
          <w:spacing w:val="-6"/>
        </w:rPr>
        <w:t xml:space="preserve"> </w:t>
      </w:r>
      <w:r>
        <w:t>et</w:t>
      </w:r>
      <w:r>
        <w:rPr>
          <w:spacing w:val="-6"/>
        </w:rPr>
        <w:t xml:space="preserve"> </w:t>
      </w:r>
      <w:r>
        <w:t>al.,</w:t>
      </w:r>
      <w:r>
        <w:rPr>
          <w:spacing w:val="-6"/>
        </w:rPr>
        <w:t xml:space="preserve"> </w:t>
      </w:r>
      <w:r>
        <w:t>Air</w:t>
      </w:r>
      <w:r>
        <w:rPr>
          <w:spacing w:val="-6"/>
        </w:rPr>
        <w:t xml:space="preserve"> </w:t>
      </w:r>
      <w:r>
        <w:t>Pollution</w:t>
      </w:r>
      <w:r>
        <w:rPr>
          <w:spacing w:val="-6"/>
        </w:rPr>
        <w:t xml:space="preserve"> </w:t>
      </w:r>
      <w:r>
        <w:t>in</w:t>
      </w:r>
      <w:r>
        <w:rPr>
          <w:spacing w:val="-6"/>
        </w:rPr>
        <w:t xml:space="preserve"> </w:t>
      </w:r>
      <w:r>
        <w:t>American</w:t>
      </w:r>
      <w:r>
        <w:rPr>
          <w:spacing w:val="-6"/>
        </w:rPr>
        <w:t xml:space="preserve"> </w:t>
      </w:r>
      <w:r>
        <w:t>Indian</w:t>
      </w:r>
      <w:r>
        <w:rPr>
          <w:spacing w:val="-6"/>
        </w:rPr>
        <w:t xml:space="preserve"> </w:t>
      </w:r>
      <w:r>
        <w:t>Versus</w:t>
      </w:r>
      <w:r>
        <w:rPr>
          <w:spacing w:val="-6"/>
        </w:rPr>
        <w:t xml:space="preserve"> </w:t>
      </w:r>
      <w:r>
        <w:t>Non-American</w:t>
      </w:r>
      <w:r>
        <w:rPr>
          <w:spacing w:val="-6"/>
        </w:rPr>
        <w:t xml:space="preserve"> </w:t>
      </w:r>
      <w:r>
        <w:t>Indian</w:t>
      </w:r>
      <w:r>
        <w:rPr>
          <w:spacing w:val="-6"/>
        </w:rPr>
        <w:t xml:space="preserve"> </w:t>
      </w:r>
      <w:r>
        <w:t xml:space="preserve">Communities, 2000-2018, 112 American Journal of Public Health 615 (2022), </w:t>
      </w:r>
      <w:r>
        <w:rPr>
          <w:spacing w:val="-2"/>
        </w:rPr>
        <w:t>https://doi.org/10.2105/AJPH.2021.306650.</w:t>
      </w:r>
    </w:p>
    <w:p w14:paraId="7C53142E" w14:textId="77777777" w:rsidR="00D650AF" w:rsidRDefault="00D650AF">
      <w:pPr>
        <w:sectPr w:rsidR="00D650AF">
          <w:pgSz w:w="12240" w:h="15840"/>
          <w:pgMar w:top="1360" w:right="1340" w:bottom="280" w:left="1340" w:header="720" w:footer="720" w:gutter="0"/>
          <w:cols w:space="720"/>
        </w:sectPr>
      </w:pPr>
    </w:p>
    <w:p w14:paraId="1A3A2312" w14:textId="77777777" w:rsidR="00D650AF" w:rsidRDefault="00000000">
      <w:pPr>
        <w:pStyle w:val="BodyText"/>
        <w:spacing w:before="80" w:line="276" w:lineRule="auto"/>
        <w:ind w:left="100" w:right="174" w:firstLine="720"/>
      </w:pPr>
      <w:r>
        <w:lastRenderedPageBreak/>
        <w:t>Lastly, the state environmental protection agency</w:t>
      </w:r>
      <w:r>
        <w:rPr>
          <w:vertAlign w:val="superscript"/>
        </w:rPr>
        <w:t>21</w:t>
      </w:r>
      <w:r>
        <w:t xml:space="preserve"> may designate additional areas as “environmental justice areas” if they are particularly vulnerable to environmental or public health hazards, have a history of disproportionate environmental burdens, or have a diminished capacity for public participation. This category gives the agency some discretion to identify additional</w:t>
      </w:r>
      <w:r>
        <w:rPr>
          <w:spacing w:val="-2"/>
        </w:rPr>
        <w:t xml:space="preserve"> </w:t>
      </w:r>
      <w:r>
        <w:t>areas</w:t>
      </w:r>
      <w:r>
        <w:rPr>
          <w:spacing w:val="-2"/>
        </w:rPr>
        <w:t xml:space="preserve"> </w:t>
      </w:r>
      <w:r>
        <w:t>that</w:t>
      </w:r>
      <w:r>
        <w:rPr>
          <w:spacing w:val="-2"/>
        </w:rPr>
        <w:t xml:space="preserve"> </w:t>
      </w:r>
      <w:r>
        <w:t>may</w:t>
      </w:r>
      <w:r>
        <w:rPr>
          <w:spacing w:val="-2"/>
        </w:rPr>
        <w:t xml:space="preserve"> </w:t>
      </w:r>
      <w:r>
        <w:t>benefit</w:t>
      </w:r>
      <w:r>
        <w:rPr>
          <w:spacing w:val="-2"/>
        </w:rPr>
        <w:t xml:space="preserve"> </w:t>
      </w:r>
      <w:r>
        <w:t>from</w:t>
      </w:r>
      <w:r>
        <w:rPr>
          <w:spacing w:val="-2"/>
        </w:rPr>
        <w:t xml:space="preserve"> </w:t>
      </w:r>
      <w:r>
        <w:t>the</w:t>
      </w:r>
      <w:r>
        <w:rPr>
          <w:spacing w:val="-2"/>
        </w:rPr>
        <w:t xml:space="preserve"> </w:t>
      </w:r>
      <w:r>
        <w:t>designation,</w:t>
      </w:r>
      <w:r>
        <w:rPr>
          <w:spacing w:val="-2"/>
        </w:rPr>
        <w:t xml:space="preserve"> </w:t>
      </w:r>
      <w:r>
        <w:t>and</w:t>
      </w:r>
      <w:r>
        <w:rPr>
          <w:spacing w:val="-2"/>
        </w:rPr>
        <w:t xml:space="preserve"> </w:t>
      </w:r>
      <w:r>
        <w:t>encourages</w:t>
      </w:r>
      <w:r>
        <w:rPr>
          <w:spacing w:val="-2"/>
        </w:rPr>
        <w:t xml:space="preserve"> </w:t>
      </w:r>
      <w:r>
        <w:t>flexibility</w:t>
      </w:r>
      <w:r>
        <w:rPr>
          <w:spacing w:val="-2"/>
        </w:rPr>
        <w:t xml:space="preserve"> </w:t>
      </w:r>
      <w:r>
        <w:t>in</w:t>
      </w:r>
      <w:r>
        <w:rPr>
          <w:spacing w:val="-2"/>
        </w:rPr>
        <w:t xml:space="preserve"> </w:t>
      </w:r>
      <w:r>
        <w:t>recognizing the</w:t>
      </w:r>
      <w:r>
        <w:rPr>
          <w:spacing w:val="-4"/>
        </w:rPr>
        <w:t xml:space="preserve"> </w:t>
      </w:r>
      <w:r>
        <w:t>input</w:t>
      </w:r>
      <w:r>
        <w:rPr>
          <w:spacing w:val="-4"/>
        </w:rPr>
        <w:t xml:space="preserve"> </w:t>
      </w:r>
      <w:r>
        <w:t>of</w:t>
      </w:r>
      <w:r>
        <w:rPr>
          <w:spacing w:val="-4"/>
        </w:rPr>
        <w:t xml:space="preserve"> </w:t>
      </w:r>
      <w:r>
        <w:t>community</w:t>
      </w:r>
      <w:r>
        <w:rPr>
          <w:spacing w:val="-4"/>
        </w:rPr>
        <w:t xml:space="preserve"> </w:t>
      </w:r>
      <w:r>
        <w:t>organizations,</w:t>
      </w:r>
      <w:r>
        <w:rPr>
          <w:spacing w:val="-4"/>
        </w:rPr>
        <w:t xml:space="preserve"> </w:t>
      </w:r>
      <w:r>
        <w:t>residents,</w:t>
      </w:r>
      <w:r>
        <w:rPr>
          <w:spacing w:val="-4"/>
        </w:rPr>
        <w:t xml:space="preserve"> </w:t>
      </w:r>
      <w:r>
        <w:t>and</w:t>
      </w:r>
      <w:r>
        <w:rPr>
          <w:spacing w:val="-4"/>
        </w:rPr>
        <w:t xml:space="preserve"> </w:t>
      </w:r>
      <w:r>
        <w:t>advocates</w:t>
      </w:r>
      <w:r>
        <w:rPr>
          <w:spacing w:val="-4"/>
        </w:rPr>
        <w:t xml:space="preserve"> </w:t>
      </w:r>
      <w:r>
        <w:t>who</w:t>
      </w:r>
      <w:r>
        <w:rPr>
          <w:spacing w:val="-4"/>
        </w:rPr>
        <w:t xml:space="preserve"> </w:t>
      </w:r>
      <w:r>
        <w:t>are</w:t>
      </w:r>
      <w:r>
        <w:rPr>
          <w:spacing w:val="-4"/>
        </w:rPr>
        <w:t xml:space="preserve"> </w:t>
      </w:r>
      <w:r>
        <w:t>closely</w:t>
      </w:r>
      <w:r>
        <w:rPr>
          <w:spacing w:val="-4"/>
        </w:rPr>
        <w:t xml:space="preserve"> </w:t>
      </w:r>
      <w:r>
        <w:t>connected</w:t>
      </w:r>
      <w:r>
        <w:rPr>
          <w:spacing w:val="-4"/>
        </w:rPr>
        <w:t xml:space="preserve"> </w:t>
      </w:r>
      <w:r>
        <w:t>to</w:t>
      </w:r>
      <w:r>
        <w:rPr>
          <w:spacing w:val="-4"/>
        </w:rPr>
        <w:t xml:space="preserve"> </w:t>
      </w:r>
      <w:r>
        <w:t>the issue of cumulative impacts.</w:t>
      </w:r>
      <w:r>
        <w:rPr>
          <w:vertAlign w:val="superscript"/>
        </w:rPr>
        <w:t>22</w:t>
      </w:r>
      <w:r>
        <w:t xml:space="preserve"> By doing so, it gives communities an opportunity to identify themselves for further consideration and ensures that no overburdened community is categorically excluded from being designated an environmental justice area.</w:t>
      </w:r>
    </w:p>
    <w:p w14:paraId="436034D8" w14:textId="77777777" w:rsidR="00D650AF" w:rsidRDefault="00D650AF">
      <w:pPr>
        <w:pStyle w:val="BodyText"/>
        <w:rPr>
          <w:sz w:val="26"/>
        </w:rPr>
      </w:pPr>
    </w:p>
    <w:p w14:paraId="5CD80AFF" w14:textId="77777777" w:rsidR="00D650AF" w:rsidRDefault="00D650AF">
      <w:pPr>
        <w:pStyle w:val="BodyText"/>
        <w:spacing w:before="2"/>
        <w:rPr>
          <w:sz w:val="29"/>
        </w:rPr>
      </w:pPr>
    </w:p>
    <w:p w14:paraId="672AD23E" w14:textId="77777777" w:rsidR="00D650AF" w:rsidRDefault="00000000">
      <w:pPr>
        <w:pStyle w:val="Heading1"/>
        <w:spacing w:line="276" w:lineRule="auto"/>
        <w:ind w:left="100" w:right="2956" w:firstLine="3169"/>
      </w:pPr>
      <w:r>
        <w:t>Additional</w:t>
      </w:r>
      <w:r>
        <w:rPr>
          <w:spacing w:val="-13"/>
        </w:rPr>
        <w:t xml:space="preserve"> </w:t>
      </w:r>
      <w:r>
        <w:t>Issues</w:t>
      </w:r>
      <w:r>
        <w:rPr>
          <w:spacing w:val="-13"/>
        </w:rPr>
        <w:t xml:space="preserve"> </w:t>
      </w:r>
      <w:r>
        <w:t>to</w:t>
      </w:r>
      <w:r>
        <w:rPr>
          <w:spacing w:val="-13"/>
        </w:rPr>
        <w:t xml:space="preserve"> </w:t>
      </w:r>
      <w:r>
        <w:t>Consider Use of race in designation of environmental justice area</w:t>
      </w:r>
    </w:p>
    <w:p w14:paraId="70D08D28" w14:textId="77777777" w:rsidR="00D650AF" w:rsidRDefault="00000000">
      <w:pPr>
        <w:pStyle w:val="BodyText"/>
        <w:spacing w:line="276" w:lineRule="auto"/>
        <w:ind w:left="100" w:right="128" w:firstLine="720"/>
      </w:pPr>
      <w:r>
        <w:t>This model bill utilizes racial demographics in its definition of “environmental justice area,” a term that is used to identify areas that are more likely to be burdened by environmental hazards or associated health problems. These demographics are a strong predictor of an area’s exposure to environmental hazards,</w:t>
      </w:r>
      <w:r>
        <w:rPr>
          <w:vertAlign w:val="superscript"/>
        </w:rPr>
        <w:t>23</w:t>
      </w:r>
      <w:r>
        <w:t xml:space="preserve"> making them a particularly salient metric for this bill.</w:t>
      </w:r>
      <w:r>
        <w:rPr>
          <w:vertAlign w:val="superscript"/>
        </w:rPr>
        <w:t>24</w:t>
      </w:r>
      <w:r>
        <w:t xml:space="preserve"> However, their inclusion in this definition may increase the risk of litigation under state or federal</w:t>
      </w:r>
      <w:r>
        <w:rPr>
          <w:spacing w:val="-5"/>
        </w:rPr>
        <w:t xml:space="preserve"> </w:t>
      </w:r>
      <w:r>
        <w:t>equal</w:t>
      </w:r>
      <w:r>
        <w:rPr>
          <w:spacing w:val="-5"/>
        </w:rPr>
        <w:t xml:space="preserve"> </w:t>
      </w:r>
      <w:r>
        <w:t>protection</w:t>
      </w:r>
      <w:r>
        <w:rPr>
          <w:spacing w:val="-5"/>
        </w:rPr>
        <w:t xml:space="preserve"> </w:t>
      </w:r>
      <w:r>
        <w:t>law,</w:t>
      </w:r>
      <w:r>
        <w:rPr>
          <w:spacing w:val="-5"/>
        </w:rPr>
        <w:t xml:space="preserve"> </w:t>
      </w:r>
      <w:r>
        <w:t>which</w:t>
      </w:r>
      <w:r>
        <w:rPr>
          <w:spacing w:val="-5"/>
        </w:rPr>
        <w:t xml:space="preserve"> </w:t>
      </w:r>
      <w:r>
        <w:t>could</w:t>
      </w:r>
      <w:r>
        <w:rPr>
          <w:spacing w:val="-5"/>
        </w:rPr>
        <w:t xml:space="preserve"> </w:t>
      </w:r>
      <w:r>
        <w:t>delay</w:t>
      </w:r>
      <w:r>
        <w:rPr>
          <w:spacing w:val="-5"/>
        </w:rPr>
        <w:t xml:space="preserve"> </w:t>
      </w:r>
      <w:r>
        <w:t>or</w:t>
      </w:r>
      <w:r>
        <w:rPr>
          <w:spacing w:val="-5"/>
        </w:rPr>
        <w:t xml:space="preserve"> </w:t>
      </w:r>
      <w:r>
        <w:t>completely</w:t>
      </w:r>
      <w:r>
        <w:rPr>
          <w:spacing w:val="-5"/>
        </w:rPr>
        <w:t xml:space="preserve"> </w:t>
      </w:r>
      <w:r>
        <w:t>prevent</w:t>
      </w:r>
      <w:r>
        <w:rPr>
          <w:spacing w:val="-5"/>
        </w:rPr>
        <w:t xml:space="preserve"> </w:t>
      </w:r>
      <w:r>
        <w:t>implementation</w:t>
      </w:r>
      <w:r>
        <w:rPr>
          <w:spacing w:val="-5"/>
        </w:rPr>
        <w:t xml:space="preserve"> </w:t>
      </w:r>
      <w:r>
        <w:t>of</w:t>
      </w:r>
      <w:r>
        <w:rPr>
          <w:spacing w:val="-5"/>
        </w:rPr>
        <w:t xml:space="preserve"> </w:t>
      </w:r>
      <w:r>
        <w:t>the</w:t>
      </w:r>
      <w:r>
        <w:rPr>
          <w:spacing w:val="-5"/>
        </w:rPr>
        <w:t xml:space="preserve"> </w:t>
      </w:r>
      <w:r>
        <w:t>bill. Federal courts in multiple states have recently halted federal programs that contain racial classifications on the grounds that these classifications violate the Constitution’s Equal Protection Clause.</w:t>
      </w:r>
      <w:r>
        <w:rPr>
          <w:vertAlign w:val="superscript"/>
        </w:rPr>
        <w:t>25</w:t>
      </w:r>
    </w:p>
    <w:p w14:paraId="0BC4224F" w14:textId="77777777" w:rsidR="00D650AF" w:rsidRDefault="00000000">
      <w:pPr>
        <w:pStyle w:val="BodyText"/>
        <w:spacing w:line="276" w:lineRule="auto"/>
        <w:ind w:left="100" w:right="174" w:firstLine="720"/>
      </w:pPr>
      <w:r>
        <w:t>While the use of race-conscious metrics carries a risk of litigation, legislators might reduce this risk by ensuring that the use of race in their bill is narrowly tailored to achieve a compelling</w:t>
      </w:r>
      <w:r>
        <w:rPr>
          <w:spacing w:val="-6"/>
        </w:rPr>
        <w:t xml:space="preserve"> </w:t>
      </w:r>
      <w:r>
        <w:t>government</w:t>
      </w:r>
      <w:r>
        <w:rPr>
          <w:spacing w:val="-6"/>
        </w:rPr>
        <w:t xml:space="preserve"> </w:t>
      </w:r>
      <w:r>
        <w:t>interest,</w:t>
      </w:r>
      <w:r>
        <w:rPr>
          <w:spacing w:val="-6"/>
        </w:rPr>
        <w:t xml:space="preserve"> </w:t>
      </w:r>
      <w:r>
        <w:t>such</w:t>
      </w:r>
      <w:r>
        <w:rPr>
          <w:spacing w:val="-6"/>
        </w:rPr>
        <w:t xml:space="preserve"> </w:t>
      </w:r>
      <w:r>
        <w:t>as</w:t>
      </w:r>
      <w:r>
        <w:rPr>
          <w:spacing w:val="-6"/>
        </w:rPr>
        <w:t xml:space="preserve"> </w:t>
      </w:r>
      <w:r>
        <w:t>remedying</w:t>
      </w:r>
      <w:r>
        <w:rPr>
          <w:spacing w:val="-6"/>
        </w:rPr>
        <w:t xml:space="preserve"> </w:t>
      </w:r>
      <w:r>
        <w:t>past</w:t>
      </w:r>
      <w:r>
        <w:rPr>
          <w:spacing w:val="-6"/>
        </w:rPr>
        <w:t xml:space="preserve"> </w:t>
      </w:r>
      <w:r>
        <w:t>discrimination.</w:t>
      </w:r>
      <w:r>
        <w:rPr>
          <w:vertAlign w:val="superscript"/>
        </w:rPr>
        <w:t>26</w:t>
      </w:r>
      <w:r>
        <w:rPr>
          <w:spacing w:val="-7"/>
        </w:rPr>
        <w:t xml:space="preserve"> </w:t>
      </w:r>
      <w:r>
        <w:t>The</w:t>
      </w:r>
      <w:r>
        <w:rPr>
          <w:spacing w:val="-6"/>
        </w:rPr>
        <w:t xml:space="preserve"> </w:t>
      </w:r>
      <w:r>
        <w:t>Supreme</w:t>
      </w:r>
      <w:r>
        <w:rPr>
          <w:spacing w:val="-6"/>
        </w:rPr>
        <w:t xml:space="preserve"> </w:t>
      </w:r>
      <w:r>
        <w:t xml:space="preserve">Court's recent decision in </w:t>
      </w:r>
      <w:r>
        <w:rPr>
          <w:i/>
        </w:rPr>
        <w:t>Students for Fair Admissions, Inc. v. President and Fellows of Harvard College</w:t>
      </w:r>
      <w:r>
        <w:rPr>
          <w:vertAlign w:val="superscript"/>
        </w:rPr>
        <w:t>27</w:t>
      </w:r>
      <w:r>
        <w:t xml:space="preserve"> affirmed this standard for the consideration of race in government decision-making.</w:t>
      </w:r>
    </w:p>
    <w:p w14:paraId="7E64DE07" w14:textId="77777777" w:rsidR="00D650AF" w:rsidRDefault="00000000">
      <w:pPr>
        <w:pStyle w:val="BodyText"/>
        <w:spacing w:before="9"/>
        <w:rPr>
          <w:sz w:val="17"/>
        </w:rPr>
      </w:pPr>
      <w:r>
        <w:rPr>
          <w:noProof/>
        </w:rPr>
        <mc:AlternateContent>
          <mc:Choice Requires="wps">
            <w:drawing>
              <wp:anchor distT="0" distB="0" distL="0" distR="0" simplePos="0" relativeHeight="487589888" behindDoc="1" locked="0" layoutInCell="1" allowOverlap="1" wp14:anchorId="69F9F37D" wp14:editId="34FEEC82">
                <wp:simplePos x="0" y="0"/>
                <wp:positionH relativeFrom="page">
                  <wp:posOffset>914400</wp:posOffset>
                </wp:positionH>
                <wp:positionV relativeFrom="paragraph">
                  <wp:posOffset>145241</wp:posOffset>
                </wp:positionV>
                <wp:extent cx="18288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CE3ABA" id="Graphic 5" o:spid="_x0000_s1026" style="position:absolute;margin-left:1in;margin-top:11.4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" path="m,l1828800,e" filled="f">
                <v:path arrowok="t"/>
                <w10:wrap type="topAndBottom" anchorx="page"/>
              </v:shape>
            </w:pict>
          </mc:Fallback>
        </mc:AlternateContent>
      </w:r>
    </w:p>
    <w:p w14:paraId="7EA6AE9F" w14:textId="77777777" w:rsidR="00D650AF" w:rsidRDefault="00000000">
      <w:pPr>
        <w:spacing w:before="107"/>
        <w:ind w:left="100" w:right="109"/>
      </w:pPr>
      <w:r>
        <w:rPr>
          <w:vertAlign w:val="superscript"/>
        </w:rPr>
        <w:t>21</w:t>
      </w:r>
      <w:r>
        <w:rPr>
          <w:spacing w:val="-3"/>
        </w:rPr>
        <w:t xml:space="preserve"> </w:t>
      </w:r>
      <w:r>
        <w:t>The</w:t>
      </w:r>
      <w:r>
        <w:rPr>
          <w:spacing w:val="-3"/>
        </w:rPr>
        <w:t xml:space="preserve"> </w:t>
      </w:r>
      <w:r>
        <w:t>bill</w:t>
      </w:r>
      <w:r>
        <w:rPr>
          <w:spacing w:val="-3"/>
        </w:rPr>
        <w:t xml:space="preserve"> </w:t>
      </w:r>
      <w:r>
        <w:t>and</w:t>
      </w:r>
      <w:r>
        <w:rPr>
          <w:spacing w:val="-3"/>
        </w:rPr>
        <w:t xml:space="preserve"> </w:t>
      </w:r>
      <w:r>
        <w:t>this</w:t>
      </w:r>
      <w:r>
        <w:rPr>
          <w:spacing w:val="-3"/>
        </w:rPr>
        <w:t xml:space="preserve"> </w:t>
      </w:r>
      <w:r>
        <w:t>memo</w:t>
      </w:r>
      <w:r>
        <w:rPr>
          <w:spacing w:val="-3"/>
        </w:rPr>
        <w:t xml:space="preserve"> </w:t>
      </w:r>
      <w:r>
        <w:t>both</w:t>
      </w:r>
      <w:r>
        <w:rPr>
          <w:spacing w:val="-3"/>
        </w:rPr>
        <w:t xml:space="preserve"> </w:t>
      </w:r>
      <w:r>
        <w:t>use</w:t>
      </w:r>
      <w:r>
        <w:rPr>
          <w:spacing w:val="-3"/>
        </w:rPr>
        <w:t xml:space="preserve"> </w:t>
      </w:r>
      <w:r>
        <w:t>the</w:t>
      </w:r>
      <w:r>
        <w:rPr>
          <w:spacing w:val="-3"/>
        </w:rPr>
        <w:t xml:space="preserve"> </w:t>
      </w:r>
      <w:r>
        <w:t>generic</w:t>
      </w:r>
      <w:r>
        <w:rPr>
          <w:spacing w:val="-3"/>
        </w:rPr>
        <w:t xml:space="preserve"> </w:t>
      </w:r>
      <w:r>
        <w:t>“state</w:t>
      </w:r>
      <w:r>
        <w:rPr>
          <w:spacing w:val="-3"/>
        </w:rPr>
        <w:t xml:space="preserve"> </w:t>
      </w:r>
      <w:r>
        <w:t>environmental</w:t>
      </w:r>
      <w:r>
        <w:rPr>
          <w:spacing w:val="-3"/>
        </w:rPr>
        <w:t xml:space="preserve"> </w:t>
      </w:r>
      <w:r>
        <w:t>protection</w:t>
      </w:r>
      <w:r>
        <w:rPr>
          <w:spacing w:val="-3"/>
        </w:rPr>
        <w:t xml:space="preserve"> </w:t>
      </w:r>
      <w:r>
        <w:t>agency”</w:t>
      </w:r>
      <w:r>
        <w:rPr>
          <w:spacing w:val="-3"/>
        </w:rPr>
        <w:t xml:space="preserve"> </w:t>
      </w:r>
      <w:r>
        <w:t>to</w:t>
      </w:r>
      <w:r>
        <w:rPr>
          <w:spacing w:val="-3"/>
        </w:rPr>
        <w:t xml:space="preserve"> </w:t>
      </w:r>
      <w:r>
        <w:t>refer</w:t>
      </w:r>
      <w:r>
        <w:rPr>
          <w:spacing w:val="-3"/>
        </w:rPr>
        <w:t xml:space="preserve"> </w:t>
      </w:r>
      <w:r>
        <w:t>to</w:t>
      </w:r>
      <w:r>
        <w:rPr>
          <w:spacing w:val="-3"/>
        </w:rPr>
        <w:t xml:space="preserve"> </w:t>
      </w:r>
      <w:r>
        <w:t>the</w:t>
      </w:r>
      <w:r>
        <w:rPr>
          <w:spacing w:val="-3"/>
        </w:rPr>
        <w:t xml:space="preserve"> </w:t>
      </w:r>
      <w:r>
        <w:t>state agency tasked with overseeing environmental conservation, quality, and protection.</w:t>
      </w:r>
    </w:p>
    <w:p w14:paraId="5B86022C" w14:textId="77777777" w:rsidR="00D650AF" w:rsidRDefault="00000000">
      <w:pPr>
        <w:ind w:left="100" w:right="174"/>
      </w:pPr>
      <w:r>
        <w:rPr>
          <w:vertAlign w:val="superscript"/>
        </w:rPr>
        <w:t>22</w:t>
      </w:r>
      <w:r>
        <w:rPr>
          <w:spacing w:val="-7"/>
        </w:rPr>
        <w:t xml:space="preserve"> </w:t>
      </w:r>
      <w:r>
        <w:t>Kiana</w:t>
      </w:r>
      <w:r>
        <w:rPr>
          <w:spacing w:val="-7"/>
        </w:rPr>
        <w:t xml:space="preserve"> </w:t>
      </w:r>
      <w:r>
        <w:t>Courtney,</w:t>
      </w:r>
      <w:r>
        <w:rPr>
          <w:spacing w:val="-7"/>
        </w:rPr>
        <w:t xml:space="preserve"> </w:t>
      </w:r>
      <w:r>
        <w:t>Environmental</w:t>
      </w:r>
      <w:r>
        <w:rPr>
          <w:spacing w:val="-7"/>
        </w:rPr>
        <w:t xml:space="preserve"> </w:t>
      </w:r>
      <w:r>
        <w:t>Law</w:t>
      </w:r>
      <w:r>
        <w:rPr>
          <w:spacing w:val="-7"/>
        </w:rPr>
        <w:t xml:space="preserve"> </w:t>
      </w:r>
      <w:r>
        <w:t>&amp;</w:t>
      </w:r>
      <w:r>
        <w:rPr>
          <w:spacing w:val="-7"/>
        </w:rPr>
        <w:t xml:space="preserve"> </w:t>
      </w:r>
      <w:r>
        <w:t>Policy</w:t>
      </w:r>
      <w:r>
        <w:rPr>
          <w:spacing w:val="-7"/>
        </w:rPr>
        <w:t xml:space="preserve"> </w:t>
      </w:r>
      <w:r>
        <w:t>Center,</w:t>
      </w:r>
      <w:r>
        <w:rPr>
          <w:spacing w:val="-7"/>
        </w:rPr>
        <w:t xml:space="preserve"> </w:t>
      </w:r>
      <w:r>
        <w:t>#DenyThePermit?</w:t>
      </w:r>
      <w:r>
        <w:rPr>
          <w:spacing w:val="-7"/>
        </w:rPr>
        <w:t xml:space="preserve"> </w:t>
      </w:r>
      <w:r>
        <w:t>A</w:t>
      </w:r>
      <w:r>
        <w:rPr>
          <w:spacing w:val="-7"/>
        </w:rPr>
        <w:t xml:space="preserve"> </w:t>
      </w:r>
      <w:r>
        <w:t>Call</w:t>
      </w:r>
      <w:r>
        <w:rPr>
          <w:spacing w:val="-7"/>
        </w:rPr>
        <w:t xml:space="preserve"> </w:t>
      </w:r>
      <w:r>
        <w:t>for</w:t>
      </w:r>
      <w:r>
        <w:rPr>
          <w:spacing w:val="-7"/>
        </w:rPr>
        <w:t xml:space="preserve"> </w:t>
      </w:r>
      <w:r>
        <w:t>Cumulative Impacts Legislation by Frontline Communities (Dec. 8, 2021),</w:t>
      </w:r>
    </w:p>
    <w:p w14:paraId="3F0E27ED" w14:textId="77777777" w:rsidR="00D650AF" w:rsidRDefault="00000000">
      <w:pPr>
        <w:ind w:left="100" w:right="233"/>
      </w:pPr>
      <w:r>
        <w:rPr>
          <w:spacing w:val="-2"/>
        </w:rPr>
        <w:t>https://elpc.org/blog/deny-the-permit-a-call-for-cumulative-impacts-legislation-by-frontline-communities.</w:t>
      </w:r>
      <w:r>
        <w:rPr>
          <w:spacing w:val="80"/>
        </w:rPr>
        <w:t xml:space="preserve"> </w:t>
      </w:r>
      <w:r>
        <w:rPr>
          <w:vertAlign w:val="superscript"/>
        </w:rPr>
        <w:t>23</w:t>
      </w:r>
      <w:r>
        <w:t xml:space="preserve"> Letter from </w:t>
      </w:r>
      <w:proofErr w:type="spellStart"/>
      <w:r>
        <w:t>Sacoby</w:t>
      </w:r>
      <w:proofErr w:type="spellEnd"/>
      <w:r>
        <w:t xml:space="preserve"> Wilson, Professor, University of Maryland, to White House Council on Environmental Quality (Apr. 8, 2022), available at</w:t>
      </w:r>
    </w:p>
    <w:p w14:paraId="1D1E960D" w14:textId="77777777" w:rsidR="00D650AF" w:rsidRDefault="00000000">
      <w:pPr>
        <w:ind w:left="100"/>
      </w:pPr>
      <w:r>
        <w:rPr>
          <w:spacing w:val="-2"/>
        </w:rPr>
        <w:t>https://downloads.regulations.gov/CEQ-2022-0002-0012/attachment_1.pdf.</w:t>
      </w:r>
    </w:p>
    <w:p w14:paraId="396F3A3A" w14:textId="77777777" w:rsidR="00D650AF" w:rsidRDefault="00000000">
      <w:pPr>
        <w:ind w:left="100"/>
      </w:pPr>
      <w:r>
        <w:rPr>
          <w:rFonts w:ascii="Arial" w:hAnsi="Arial"/>
          <w:position w:val="8"/>
          <w:sz w:val="12"/>
        </w:rPr>
        <w:t>24</w:t>
      </w:r>
      <w:r>
        <w:rPr>
          <w:rFonts w:ascii="Arial" w:hAnsi="Arial"/>
          <w:spacing w:val="17"/>
          <w:position w:val="8"/>
          <w:sz w:val="12"/>
        </w:rPr>
        <w:t xml:space="preserve"> </w:t>
      </w:r>
      <w:r>
        <w:t>Both</w:t>
      </w:r>
      <w:r>
        <w:rPr>
          <w:spacing w:val="-5"/>
        </w:rPr>
        <w:t xml:space="preserve"> </w:t>
      </w:r>
      <w:r>
        <w:t>New</w:t>
      </w:r>
      <w:r>
        <w:rPr>
          <w:spacing w:val="-5"/>
        </w:rPr>
        <w:t xml:space="preserve"> </w:t>
      </w:r>
      <w:r>
        <w:t>Jersey</w:t>
      </w:r>
      <w:r>
        <w:rPr>
          <w:spacing w:val="-5"/>
        </w:rPr>
        <w:t xml:space="preserve"> </w:t>
      </w:r>
      <w:r>
        <w:t>and</w:t>
      </w:r>
      <w:r>
        <w:rPr>
          <w:spacing w:val="-5"/>
        </w:rPr>
        <w:t xml:space="preserve"> </w:t>
      </w:r>
      <w:r>
        <w:t>New</w:t>
      </w:r>
      <w:r>
        <w:rPr>
          <w:spacing w:val="-5"/>
        </w:rPr>
        <w:t xml:space="preserve"> </w:t>
      </w:r>
      <w:r>
        <w:t>York</w:t>
      </w:r>
      <w:r>
        <w:rPr>
          <w:spacing w:val="-5"/>
        </w:rPr>
        <w:t xml:space="preserve"> </w:t>
      </w:r>
      <w:r>
        <w:t>utilize</w:t>
      </w:r>
      <w:r>
        <w:rPr>
          <w:spacing w:val="-5"/>
        </w:rPr>
        <w:t xml:space="preserve"> </w:t>
      </w:r>
      <w:r>
        <w:t>race-based</w:t>
      </w:r>
      <w:r>
        <w:rPr>
          <w:spacing w:val="-5"/>
        </w:rPr>
        <w:t xml:space="preserve"> </w:t>
      </w:r>
      <w:r>
        <w:t>criteria</w:t>
      </w:r>
      <w:r>
        <w:rPr>
          <w:spacing w:val="-5"/>
        </w:rPr>
        <w:t xml:space="preserve"> </w:t>
      </w:r>
      <w:r>
        <w:t>for</w:t>
      </w:r>
      <w:r>
        <w:rPr>
          <w:spacing w:val="-5"/>
        </w:rPr>
        <w:t xml:space="preserve"> </w:t>
      </w:r>
      <w:r>
        <w:t>identifying</w:t>
      </w:r>
      <w:r>
        <w:rPr>
          <w:spacing w:val="-5"/>
        </w:rPr>
        <w:t xml:space="preserve"> </w:t>
      </w:r>
      <w:r>
        <w:t>impacted</w:t>
      </w:r>
      <w:r>
        <w:rPr>
          <w:spacing w:val="-5"/>
        </w:rPr>
        <w:t xml:space="preserve"> </w:t>
      </w:r>
      <w:r>
        <w:t>communities</w:t>
      </w:r>
      <w:r>
        <w:rPr>
          <w:spacing w:val="-5"/>
        </w:rPr>
        <w:t xml:space="preserve"> </w:t>
      </w:r>
      <w:r>
        <w:t xml:space="preserve">in environmental justice laws. </w:t>
      </w:r>
      <w:r>
        <w:rPr>
          <w:i/>
        </w:rPr>
        <w:t xml:space="preserve">See </w:t>
      </w:r>
      <w:r>
        <w:t xml:space="preserve">13 NJ ST Ch. 1D-158; NY Enviro. </w:t>
      </w:r>
      <w:proofErr w:type="spellStart"/>
      <w:r>
        <w:t>Conserv</w:t>
      </w:r>
      <w:proofErr w:type="spellEnd"/>
      <w:r>
        <w:t>. Law § 75-0111).</w:t>
      </w:r>
    </w:p>
    <w:p w14:paraId="7B19A42D" w14:textId="77777777" w:rsidR="00D650AF" w:rsidRDefault="00000000">
      <w:pPr>
        <w:ind w:left="100" w:right="236"/>
      </w:pPr>
      <w:r>
        <w:rPr>
          <w:vertAlign w:val="superscript"/>
        </w:rPr>
        <w:t>25</w:t>
      </w:r>
      <w:r>
        <w:t xml:space="preserve"> See, e.g., </w:t>
      </w:r>
      <w:r>
        <w:rPr>
          <w:i/>
        </w:rPr>
        <w:t>Vitolo v. Guzman</w:t>
      </w:r>
      <w:r>
        <w:t>, 999 F.3d 353, 360 (6th Cir., 2021) (enjoining a program that prioritized minority-owned</w:t>
      </w:r>
      <w:r>
        <w:rPr>
          <w:spacing w:val="-8"/>
        </w:rPr>
        <w:t xml:space="preserve"> </w:t>
      </w:r>
      <w:r>
        <w:t>businesses,</w:t>
      </w:r>
      <w:r>
        <w:rPr>
          <w:spacing w:val="-8"/>
        </w:rPr>
        <w:t xml:space="preserve"> </w:t>
      </w:r>
      <w:r>
        <w:t>among</w:t>
      </w:r>
      <w:r>
        <w:rPr>
          <w:spacing w:val="-8"/>
        </w:rPr>
        <w:t xml:space="preserve"> </w:t>
      </w:r>
      <w:r>
        <w:t>others,</w:t>
      </w:r>
      <w:r>
        <w:rPr>
          <w:spacing w:val="-8"/>
        </w:rPr>
        <w:t xml:space="preserve"> </w:t>
      </w:r>
      <w:r>
        <w:t>for</w:t>
      </w:r>
      <w:r>
        <w:rPr>
          <w:spacing w:val="-8"/>
        </w:rPr>
        <w:t xml:space="preserve"> </w:t>
      </w:r>
      <w:r>
        <w:t>coronavirus</w:t>
      </w:r>
      <w:r>
        <w:rPr>
          <w:spacing w:val="-8"/>
        </w:rPr>
        <w:t xml:space="preserve"> </w:t>
      </w:r>
      <w:r>
        <w:t>relief</w:t>
      </w:r>
      <w:r>
        <w:rPr>
          <w:spacing w:val="-8"/>
        </w:rPr>
        <w:t xml:space="preserve"> </w:t>
      </w:r>
      <w:r>
        <w:t>grants);</w:t>
      </w:r>
      <w:r>
        <w:rPr>
          <w:spacing w:val="-8"/>
        </w:rPr>
        <w:t xml:space="preserve"> </w:t>
      </w:r>
      <w:r>
        <w:rPr>
          <w:i/>
        </w:rPr>
        <w:t>Faust</w:t>
      </w:r>
      <w:r>
        <w:rPr>
          <w:i/>
          <w:spacing w:val="-8"/>
        </w:rPr>
        <w:t xml:space="preserve"> </w:t>
      </w:r>
      <w:r>
        <w:rPr>
          <w:i/>
        </w:rPr>
        <w:t>v.</w:t>
      </w:r>
      <w:r>
        <w:rPr>
          <w:i/>
          <w:spacing w:val="-8"/>
        </w:rPr>
        <w:t xml:space="preserve"> </w:t>
      </w:r>
      <w:r>
        <w:rPr>
          <w:i/>
        </w:rPr>
        <w:t>Vilsack</w:t>
      </w:r>
      <w:r>
        <w:t>,</w:t>
      </w:r>
      <w:r>
        <w:rPr>
          <w:spacing w:val="-8"/>
        </w:rPr>
        <w:t xml:space="preserve"> </w:t>
      </w:r>
      <w:r>
        <w:t>519</w:t>
      </w:r>
      <w:r>
        <w:rPr>
          <w:spacing w:val="-8"/>
        </w:rPr>
        <w:t xml:space="preserve"> </w:t>
      </w:r>
      <w:r>
        <w:t>F.Supp.3d 470</w:t>
      </w:r>
      <w:r>
        <w:rPr>
          <w:spacing w:val="-4"/>
        </w:rPr>
        <w:t xml:space="preserve"> </w:t>
      </w:r>
      <w:r>
        <w:t>(E.D.</w:t>
      </w:r>
      <w:r>
        <w:rPr>
          <w:spacing w:val="-4"/>
        </w:rPr>
        <w:t xml:space="preserve"> </w:t>
      </w:r>
      <w:r>
        <w:t>Wis.</w:t>
      </w:r>
      <w:r>
        <w:rPr>
          <w:spacing w:val="-4"/>
        </w:rPr>
        <w:t xml:space="preserve"> </w:t>
      </w:r>
      <w:r>
        <w:t>2021)</w:t>
      </w:r>
      <w:r>
        <w:rPr>
          <w:spacing w:val="-4"/>
        </w:rPr>
        <w:t xml:space="preserve"> </w:t>
      </w:r>
      <w:r>
        <w:t>(enjoining</w:t>
      </w:r>
      <w:r>
        <w:rPr>
          <w:spacing w:val="-4"/>
        </w:rPr>
        <w:t xml:space="preserve"> </w:t>
      </w:r>
      <w:r>
        <w:t>a</w:t>
      </w:r>
      <w:r>
        <w:rPr>
          <w:spacing w:val="-4"/>
        </w:rPr>
        <w:t xml:space="preserve"> </w:t>
      </w:r>
      <w:r>
        <w:t>program</w:t>
      </w:r>
      <w:r>
        <w:rPr>
          <w:spacing w:val="-4"/>
        </w:rPr>
        <w:t xml:space="preserve"> </w:t>
      </w:r>
      <w:r>
        <w:t>that</w:t>
      </w:r>
      <w:r>
        <w:rPr>
          <w:spacing w:val="-4"/>
        </w:rPr>
        <w:t xml:space="preserve"> </w:t>
      </w:r>
      <w:r>
        <w:t>provided</w:t>
      </w:r>
      <w:r>
        <w:rPr>
          <w:spacing w:val="-4"/>
        </w:rPr>
        <w:t xml:space="preserve"> </w:t>
      </w:r>
      <w:r>
        <w:t>loan</w:t>
      </w:r>
      <w:r>
        <w:rPr>
          <w:spacing w:val="-4"/>
        </w:rPr>
        <w:t xml:space="preserve"> </w:t>
      </w:r>
      <w:r>
        <w:t>relief</w:t>
      </w:r>
      <w:r>
        <w:rPr>
          <w:spacing w:val="-4"/>
        </w:rPr>
        <w:t xml:space="preserve"> </w:t>
      </w:r>
      <w:r>
        <w:t>to</w:t>
      </w:r>
      <w:r>
        <w:rPr>
          <w:spacing w:val="-4"/>
        </w:rPr>
        <w:t xml:space="preserve"> </w:t>
      </w:r>
      <w:r>
        <w:t>“socially</w:t>
      </w:r>
      <w:r>
        <w:rPr>
          <w:spacing w:val="-4"/>
        </w:rPr>
        <w:t xml:space="preserve"> </w:t>
      </w:r>
      <w:r>
        <w:t>disadvantaged”</w:t>
      </w:r>
      <w:r>
        <w:rPr>
          <w:spacing w:val="-4"/>
        </w:rPr>
        <w:t xml:space="preserve"> </w:t>
      </w:r>
      <w:r>
        <w:t>farmers, a category defined in part based on race).</w:t>
      </w:r>
    </w:p>
    <w:p w14:paraId="21BC3BC6" w14:textId="77777777" w:rsidR="00D650AF" w:rsidRDefault="00000000">
      <w:pPr>
        <w:ind w:left="100"/>
      </w:pPr>
      <w:r>
        <w:rPr>
          <w:vertAlign w:val="superscript"/>
        </w:rPr>
        <w:t>26</w:t>
      </w:r>
      <w:r>
        <w:rPr>
          <w:spacing w:val="-9"/>
        </w:rPr>
        <w:t xml:space="preserve"> </w:t>
      </w:r>
      <w:proofErr w:type="spellStart"/>
      <w:r>
        <w:rPr>
          <w:i/>
        </w:rPr>
        <w:t>Adarand</w:t>
      </w:r>
      <w:proofErr w:type="spellEnd"/>
      <w:r>
        <w:rPr>
          <w:i/>
          <w:spacing w:val="-7"/>
        </w:rPr>
        <w:t xml:space="preserve"> </w:t>
      </w:r>
      <w:r>
        <w:rPr>
          <w:i/>
        </w:rPr>
        <w:t>Constructors,</w:t>
      </w:r>
      <w:r>
        <w:rPr>
          <w:i/>
          <w:spacing w:val="-7"/>
        </w:rPr>
        <w:t xml:space="preserve"> </w:t>
      </w:r>
      <w:r>
        <w:rPr>
          <w:i/>
        </w:rPr>
        <w:t>Inc.</w:t>
      </w:r>
      <w:r>
        <w:rPr>
          <w:i/>
          <w:spacing w:val="-7"/>
        </w:rPr>
        <w:t xml:space="preserve"> </w:t>
      </w:r>
      <w:r>
        <w:rPr>
          <w:i/>
        </w:rPr>
        <w:t>v.</w:t>
      </w:r>
      <w:r>
        <w:rPr>
          <w:i/>
          <w:spacing w:val="-7"/>
        </w:rPr>
        <w:t xml:space="preserve"> </w:t>
      </w:r>
      <w:r>
        <w:rPr>
          <w:i/>
        </w:rPr>
        <w:t>Pena</w:t>
      </w:r>
      <w:r>
        <w:t>,</w:t>
      </w:r>
      <w:r>
        <w:rPr>
          <w:spacing w:val="-7"/>
        </w:rPr>
        <w:t xml:space="preserve"> </w:t>
      </w:r>
      <w:r>
        <w:t>515</w:t>
      </w:r>
      <w:r>
        <w:rPr>
          <w:spacing w:val="-7"/>
        </w:rPr>
        <w:t xml:space="preserve"> </w:t>
      </w:r>
      <w:r>
        <w:t>U.S.</w:t>
      </w:r>
      <w:r>
        <w:rPr>
          <w:spacing w:val="-7"/>
        </w:rPr>
        <w:t xml:space="preserve"> </w:t>
      </w:r>
      <w:r>
        <w:t>200,</w:t>
      </w:r>
      <w:r>
        <w:rPr>
          <w:spacing w:val="-7"/>
        </w:rPr>
        <w:t xml:space="preserve"> </w:t>
      </w:r>
      <w:r>
        <w:t>227</w:t>
      </w:r>
      <w:r>
        <w:rPr>
          <w:spacing w:val="-7"/>
        </w:rPr>
        <w:t xml:space="preserve"> </w:t>
      </w:r>
      <w:r>
        <w:rPr>
          <w:spacing w:val="-2"/>
        </w:rPr>
        <w:t>(1995).</w:t>
      </w:r>
    </w:p>
    <w:p w14:paraId="4D4DE449" w14:textId="77777777" w:rsidR="00D650AF" w:rsidRDefault="00000000">
      <w:pPr>
        <w:tabs>
          <w:tab w:val="left" w:pos="1610"/>
        </w:tabs>
        <w:ind w:left="100"/>
      </w:pPr>
      <w:r>
        <w:rPr>
          <w:rFonts w:ascii="Arial"/>
          <w:position w:val="8"/>
          <w:sz w:val="12"/>
        </w:rPr>
        <w:t>27</w:t>
      </w:r>
      <w:r>
        <w:rPr>
          <w:rFonts w:ascii="Arial"/>
          <w:spacing w:val="24"/>
          <w:position w:val="8"/>
          <w:sz w:val="12"/>
        </w:rPr>
        <w:t xml:space="preserve"> </w:t>
      </w:r>
      <w:r>
        <w:t xml:space="preserve">600 U.S. </w:t>
      </w:r>
      <w:r>
        <w:rPr>
          <w:u w:val="single"/>
        </w:rPr>
        <w:tab/>
      </w:r>
      <w:r>
        <w:rPr>
          <w:spacing w:val="-2"/>
        </w:rPr>
        <w:t>(2023).</w:t>
      </w:r>
    </w:p>
    <w:p w14:paraId="403B97B1" w14:textId="77777777" w:rsidR="00D650AF" w:rsidRDefault="00D650AF">
      <w:pPr>
        <w:sectPr w:rsidR="00D650AF">
          <w:pgSz w:w="12240" w:h="15840"/>
          <w:pgMar w:top="1360" w:right="1340" w:bottom="280" w:left="1340" w:header="720" w:footer="720" w:gutter="0"/>
          <w:cols w:space="720"/>
        </w:sectPr>
      </w:pPr>
    </w:p>
    <w:p w14:paraId="49372C9A" w14:textId="77777777" w:rsidR="00D650AF" w:rsidRDefault="00000000">
      <w:pPr>
        <w:pStyle w:val="BodyText"/>
        <w:spacing w:before="60" w:line="276" w:lineRule="auto"/>
        <w:ind w:left="100" w:right="139"/>
      </w:pPr>
      <w:r>
        <w:lastRenderedPageBreak/>
        <w:t>Legislators</w:t>
      </w:r>
      <w:r>
        <w:rPr>
          <w:spacing w:val="-3"/>
        </w:rPr>
        <w:t xml:space="preserve"> </w:t>
      </w:r>
      <w:r>
        <w:t>wishing</w:t>
      </w:r>
      <w:r>
        <w:rPr>
          <w:spacing w:val="-3"/>
        </w:rPr>
        <w:t xml:space="preserve"> </w:t>
      </w:r>
      <w:r>
        <w:t>to</w:t>
      </w:r>
      <w:r>
        <w:rPr>
          <w:spacing w:val="-3"/>
        </w:rPr>
        <w:t xml:space="preserve"> </w:t>
      </w:r>
      <w:r>
        <w:t>further</w:t>
      </w:r>
      <w:r>
        <w:rPr>
          <w:spacing w:val="-3"/>
        </w:rPr>
        <w:t xml:space="preserve"> </w:t>
      </w:r>
      <w:r>
        <w:t>minimize</w:t>
      </w:r>
      <w:r>
        <w:rPr>
          <w:spacing w:val="-3"/>
        </w:rPr>
        <w:t xml:space="preserve"> </w:t>
      </w:r>
      <w:r>
        <w:t>the</w:t>
      </w:r>
      <w:r>
        <w:rPr>
          <w:spacing w:val="-3"/>
        </w:rPr>
        <w:t xml:space="preserve"> </w:t>
      </w:r>
      <w:r>
        <w:t>risk</w:t>
      </w:r>
      <w:r>
        <w:rPr>
          <w:spacing w:val="-3"/>
        </w:rPr>
        <w:t xml:space="preserve"> </w:t>
      </w:r>
      <w:r>
        <w:t>of</w:t>
      </w:r>
      <w:r>
        <w:rPr>
          <w:spacing w:val="-3"/>
        </w:rPr>
        <w:t xml:space="preserve"> </w:t>
      </w:r>
      <w:r>
        <w:t>an</w:t>
      </w:r>
      <w:r>
        <w:rPr>
          <w:spacing w:val="-3"/>
        </w:rPr>
        <w:t xml:space="preserve"> </w:t>
      </w:r>
      <w:r>
        <w:t>equal</w:t>
      </w:r>
      <w:r>
        <w:rPr>
          <w:spacing w:val="-3"/>
        </w:rPr>
        <w:t xml:space="preserve"> </w:t>
      </w:r>
      <w:r>
        <w:t>protection</w:t>
      </w:r>
      <w:r>
        <w:rPr>
          <w:spacing w:val="-3"/>
        </w:rPr>
        <w:t xml:space="preserve"> </w:t>
      </w:r>
      <w:r>
        <w:t>challenge</w:t>
      </w:r>
      <w:r>
        <w:rPr>
          <w:spacing w:val="-3"/>
        </w:rPr>
        <w:t xml:space="preserve"> </w:t>
      </w:r>
      <w:r>
        <w:t>can</w:t>
      </w:r>
      <w:r>
        <w:rPr>
          <w:spacing w:val="-3"/>
        </w:rPr>
        <w:t xml:space="preserve"> </w:t>
      </w:r>
      <w:r>
        <w:t>modify</w:t>
      </w:r>
      <w:r>
        <w:rPr>
          <w:spacing w:val="-3"/>
        </w:rPr>
        <w:t xml:space="preserve"> </w:t>
      </w:r>
      <w:r>
        <w:t>the definition</w:t>
      </w:r>
      <w:r>
        <w:rPr>
          <w:spacing w:val="-2"/>
        </w:rPr>
        <w:t xml:space="preserve"> </w:t>
      </w:r>
      <w:r>
        <w:t>of</w:t>
      </w:r>
      <w:r>
        <w:rPr>
          <w:spacing w:val="-2"/>
        </w:rPr>
        <w:t xml:space="preserve"> </w:t>
      </w:r>
      <w:r>
        <w:t>“environmental</w:t>
      </w:r>
      <w:r>
        <w:rPr>
          <w:spacing w:val="-2"/>
        </w:rPr>
        <w:t xml:space="preserve"> </w:t>
      </w:r>
      <w:r>
        <w:t>justice</w:t>
      </w:r>
      <w:r>
        <w:rPr>
          <w:spacing w:val="-2"/>
        </w:rPr>
        <w:t xml:space="preserve"> </w:t>
      </w:r>
      <w:r>
        <w:t>area”</w:t>
      </w:r>
      <w:r>
        <w:rPr>
          <w:spacing w:val="-2"/>
        </w:rPr>
        <w:t xml:space="preserve"> </w:t>
      </w:r>
      <w:r>
        <w:t>to</w:t>
      </w:r>
      <w:r>
        <w:rPr>
          <w:spacing w:val="-2"/>
        </w:rPr>
        <w:t xml:space="preserve"> </w:t>
      </w:r>
      <w:r>
        <w:t>eliminate</w:t>
      </w:r>
      <w:r>
        <w:rPr>
          <w:spacing w:val="-2"/>
        </w:rPr>
        <w:t xml:space="preserve"> </w:t>
      </w:r>
      <w:r>
        <w:t>the</w:t>
      </w:r>
      <w:r>
        <w:rPr>
          <w:spacing w:val="-2"/>
        </w:rPr>
        <w:t xml:space="preserve"> </w:t>
      </w:r>
      <w:r>
        <w:t>use</w:t>
      </w:r>
      <w:r>
        <w:rPr>
          <w:spacing w:val="-2"/>
        </w:rPr>
        <w:t xml:space="preserve"> </w:t>
      </w:r>
      <w:r>
        <w:t>of</w:t>
      </w:r>
      <w:r>
        <w:rPr>
          <w:spacing w:val="-2"/>
        </w:rPr>
        <w:t xml:space="preserve"> </w:t>
      </w:r>
      <w:r>
        <w:t>racial</w:t>
      </w:r>
      <w:r>
        <w:rPr>
          <w:spacing w:val="-2"/>
        </w:rPr>
        <w:t xml:space="preserve"> </w:t>
      </w:r>
      <w:r>
        <w:t>demographics.</w:t>
      </w:r>
      <w:r>
        <w:rPr>
          <w:spacing w:val="-2"/>
        </w:rPr>
        <w:t xml:space="preserve"> </w:t>
      </w:r>
      <w:r>
        <w:t>To</w:t>
      </w:r>
      <w:r>
        <w:rPr>
          <w:spacing w:val="-2"/>
        </w:rPr>
        <w:t xml:space="preserve"> </w:t>
      </w:r>
      <w:r>
        <w:t>do</w:t>
      </w:r>
      <w:r>
        <w:rPr>
          <w:spacing w:val="-2"/>
        </w:rPr>
        <w:t xml:space="preserve"> </w:t>
      </w:r>
      <w:r>
        <w:t>so, provision [2.1(a)(ii)] should be removed, as well as the reference to “United States Environmental Protection Agency EJSCREEN demographic index” in [2.1(b)]. Legislators should also consider the extent to which state constitutional law may limit the use of race.</w:t>
      </w:r>
    </w:p>
    <w:p w14:paraId="64B6FED6" w14:textId="77777777" w:rsidR="00D650AF" w:rsidRDefault="00D650AF">
      <w:pPr>
        <w:pStyle w:val="BodyText"/>
        <w:spacing w:before="6"/>
        <w:rPr>
          <w:sz w:val="27"/>
        </w:rPr>
      </w:pPr>
    </w:p>
    <w:p w14:paraId="5B5B5159" w14:textId="77777777" w:rsidR="00D650AF" w:rsidRDefault="00000000">
      <w:pPr>
        <w:pStyle w:val="Heading1"/>
        <w:spacing w:before="1"/>
        <w:ind w:left="100" w:firstLine="0"/>
      </w:pPr>
      <w:r>
        <w:t xml:space="preserve">Conditions on permit </w:t>
      </w:r>
      <w:r>
        <w:rPr>
          <w:spacing w:val="-2"/>
        </w:rPr>
        <w:t>approval</w:t>
      </w:r>
    </w:p>
    <w:p w14:paraId="594CBBF7" w14:textId="77777777" w:rsidR="00D650AF" w:rsidRDefault="00000000">
      <w:pPr>
        <w:pStyle w:val="BodyText"/>
        <w:spacing w:before="41" w:line="276" w:lineRule="auto"/>
        <w:ind w:left="100" w:right="128" w:firstLine="720"/>
      </w:pPr>
      <w:r>
        <w:t>[Subsection 3.4] of the model law requires the state environmental protection agency to prescribe reasonable and appropriate conditions and safeguards on the permitted land use to minimize negative environmental impacts in the surrounding area. Federal constitutional law places some limits on the ability of permitting bodies to place restrictive conditions on land use approvals.</w:t>
      </w:r>
      <w:r>
        <w:rPr>
          <w:vertAlign w:val="superscript"/>
        </w:rPr>
        <w:t>28</w:t>
      </w:r>
      <w:r>
        <w:t xml:space="preserve"> While land use authorities “may choose whether and how a permit applicant is required to mitigate the impacts of a proposed development,” the Constitution requires that “ an essential nexus and rough proportionality” exists between the conditions imposed and the government’s interest in mitigating the effects of the development.</w:t>
      </w:r>
      <w:r>
        <w:rPr>
          <w:vertAlign w:val="superscript"/>
        </w:rPr>
        <w:t>29</w:t>
      </w:r>
      <w:r>
        <w:t xml:space="preserve"> This enables regulators to impose</w:t>
      </w:r>
      <w:r>
        <w:rPr>
          <w:spacing w:val="-1"/>
        </w:rPr>
        <w:t xml:space="preserve"> </w:t>
      </w:r>
      <w:r>
        <w:t>conditions</w:t>
      </w:r>
      <w:r>
        <w:rPr>
          <w:spacing w:val="-1"/>
        </w:rPr>
        <w:t xml:space="preserve"> </w:t>
      </w:r>
      <w:r>
        <w:t>that</w:t>
      </w:r>
      <w:r>
        <w:rPr>
          <w:spacing w:val="-1"/>
        </w:rPr>
        <w:t xml:space="preserve"> </w:t>
      </w:r>
      <w:r>
        <w:t>minimize</w:t>
      </w:r>
      <w:r>
        <w:rPr>
          <w:spacing w:val="-1"/>
        </w:rPr>
        <w:t xml:space="preserve"> </w:t>
      </w:r>
      <w:r>
        <w:t>the</w:t>
      </w:r>
      <w:r>
        <w:rPr>
          <w:spacing w:val="-1"/>
        </w:rPr>
        <w:t xml:space="preserve"> </w:t>
      </w:r>
      <w:r>
        <w:t>impacts</w:t>
      </w:r>
      <w:r>
        <w:rPr>
          <w:spacing w:val="-1"/>
        </w:rPr>
        <w:t xml:space="preserve"> </w:t>
      </w:r>
      <w:r>
        <w:t>of</w:t>
      </w:r>
      <w:r>
        <w:rPr>
          <w:spacing w:val="-1"/>
        </w:rPr>
        <w:t xml:space="preserve"> </w:t>
      </w:r>
      <w:r>
        <w:t>a</w:t>
      </w:r>
      <w:r>
        <w:rPr>
          <w:spacing w:val="-1"/>
        </w:rPr>
        <w:t xml:space="preserve"> </w:t>
      </w:r>
      <w:r>
        <w:t>polluting</w:t>
      </w:r>
      <w:r>
        <w:rPr>
          <w:spacing w:val="-1"/>
        </w:rPr>
        <w:t xml:space="preserve"> </w:t>
      </w:r>
      <w:r>
        <w:t>land</w:t>
      </w:r>
      <w:r>
        <w:rPr>
          <w:spacing w:val="-1"/>
        </w:rPr>
        <w:t xml:space="preserve"> </w:t>
      </w:r>
      <w:r>
        <w:t>use,</w:t>
      </w:r>
      <w:r>
        <w:rPr>
          <w:spacing w:val="-1"/>
        </w:rPr>
        <w:t xml:space="preserve"> </w:t>
      </w:r>
      <w:r>
        <w:t>but</w:t>
      </w:r>
      <w:r>
        <w:rPr>
          <w:spacing w:val="-1"/>
        </w:rPr>
        <w:t xml:space="preserve"> </w:t>
      </w:r>
      <w:r>
        <w:t>prohibits</w:t>
      </w:r>
      <w:r>
        <w:rPr>
          <w:spacing w:val="-1"/>
        </w:rPr>
        <w:t xml:space="preserve"> </w:t>
      </w:r>
      <w:r>
        <w:t>the</w:t>
      </w:r>
      <w:r>
        <w:rPr>
          <w:spacing w:val="-1"/>
        </w:rPr>
        <w:t xml:space="preserve"> </w:t>
      </w:r>
      <w:r>
        <w:t>imposition of</w:t>
      </w:r>
      <w:r>
        <w:rPr>
          <w:spacing w:val="-3"/>
        </w:rPr>
        <w:t xml:space="preserve"> </w:t>
      </w:r>
      <w:r>
        <w:t>conditions</w:t>
      </w:r>
      <w:r>
        <w:rPr>
          <w:spacing w:val="-3"/>
        </w:rPr>
        <w:t xml:space="preserve"> </w:t>
      </w:r>
      <w:r>
        <w:t>that</w:t>
      </w:r>
      <w:r>
        <w:rPr>
          <w:spacing w:val="-3"/>
        </w:rPr>
        <w:t xml:space="preserve"> </w:t>
      </w:r>
      <w:r>
        <w:t>are</w:t>
      </w:r>
      <w:r>
        <w:rPr>
          <w:spacing w:val="-3"/>
        </w:rPr>
        <w:t xml:space="preserve"> </w:t>
      </w:r>
      <w:r>
        <w:t>not</w:t>
      </w:r>
      <w:r>
        <w:rPr>
          <w:spacing w:val="-3"/>
        </w:rPr>
        <w:t xml:space="preserve"> </w:t>
      </w:r>
      <w:r>
        <w:t>closely</w:t>
      </w:r>
      <w:r>
        <w:rPr>
          <w:spacing w:val="-3"/>
        </w:rPr>
        <w:t xml:space="preserve"> </w:t>
      </w:r>
      <w:r>
        <w:t>tied</w:t>
      </w:r>
      <w:r>
        <w:rPr>
          <w:spacing w:val="-3"/>
        </w:rPr>
        <w:t xml:space="preserve"> </w:t>
      </w:r>
      <w:r>
        <w:t>to</w:t>
      </w:r>
      <w:r>
        <w:rPr>
          <w:spacing w:val="-3"/>
        </w:rPr>
        <w:t xml:space="preserve"> </w:t>
      </w:r>
      <w:r>
        <w:t>this</w:t>
      </w:r>
      <w:r>
        <w:rPr>
          <w:spacing w:val="-3"/>
        </w:rPr>
        <w:t xml:space="preserve"> </w:t>
      </w:r>
      <w:r>
        <w:t>purpose,</w:t>
      </w:r>
      <w:r>
        <w:rPr>
          <w:spacing w:val="-3"/>
        </w:rPr>
        <w:t xml:space="preserve"> </w:t>
      </w:r>
      <w:r>
        <w:t>which</w:t>
      </w:r>
      <w:r>
        <w:rPr>
          <w:spacing w:val="-3"/>
        </w:rPr>
        <w:t xml:space="preserve"> </w:t>
      </w:r>
      <w:r>
        <w:t>may</w:t>
      </w:r>
      <w:r>
        <w:rPr>
          <w:spacing w:val="-3"/>
        </w:rPr>
        <w:t xml:space="preserve"> </w:t>
      </w:r>
      <w:r>
        <w:t>be</w:t>
      </w:r>
      <w:r>
        <w:rPr>
          <w:spacing w:val="-3"/>
        </w:rPr>
        <w:t xml:space="preserve"> </w:t>
      </w:r>
      <w:r>
        <w:t>seen</w:t>
      </w:r>
      <w:r>
        <w:rPr>
          <w:spacing w:val="-3"/>
        </w:rPr>
        <w:t xml:space="preserve"> </w:t>
      </w:r>
      <w:r>
        <w:t>by</w:t>
      </w:r>
      <w:r>
        <w:rPr>
          <w:spacing w:val="-3"/>
        </w:rPr>
        <w:t xml:space="preserve"> </w:t>
      </w:r>
      <w:r>
        <w:t>courts</w:t>
      </w:r>
      <w:r>
        <w:rPr>
          <w:spacing w:val="-3"/>
        </w:rPr>
        <w:t xml:space="preserve"> </w:t>
      </w:r>
      <w:r>
        <w:t>as</w:t>
      </w:r>
      <w:r>
        <w:rPr>
          <w:spacing w:val="-3"/>
        </w:rPr>
        <w:t xml:space="preserve"> </w:t>
      </w:r>
      <w:r>
        <w:t>improperly restricting the property rights of the landowner. As a result, conditions placed on permit approvals should be reasonably designed to address the nature and extent of the impacts that the permitted facility will have on surrounding communities.</w:t>
      </w:r>
    </w:p>
    <w:p w14:paraId="6FD3DD80" w14:textId="77777777" w:rsidR="00D650AF" w:rsidRDefault="00000000">
      <w:pPr>
        <w:pStyle w:val="BodyText"/>
        <w:spacing w:line="276" w:lineRule="auto"/>
        <w:ind w:left="100" w:right="139" w:firstLine="720"/>
      </w:pPr>
      <w:r>
        <w:t>This</w:t>
      </w:r>
      <w:r>
        <w:rPr>
          <w:spacing w:val="-4"/>
        </w:rPr>
        <w:t xml:space="preserve"> </w:t>
      </w:r>
      <w:r>
        <w:t>bill</w:t>
      </w:r>
      <w:r>
        <w:rPr>
          <w:spacing w:val="-4"/>
        </w:rPr>
        <w:t xml:space="preserve"> </w:t>
      </w:r>
      <w:r>
        <w:t>is</w:t>
      </w:r>
      <w:r>
        <w:rPr>
          <w:spacing w:val="-4"/>
        </w:rPr>
        <w:t xml:space="preserve"> </w:t>
      </w:r>
      <w:r>
        <w:t>written</w:t>
      </w:r>
      <w:r>
        <w:rPr>
          <w:spacing w:val="-4"/>
        </w:rPr>
        <w:t xml:space="preserve"> </w:t>
      </w:r>
      <w:r>
        <w:t>to</w:t>
      </w:r>
      <w:r>
        <w:rPr>
          <w:spacing w:val="-4"/>
        </w:rPr>
        <w:t xml:space="preserve"> </w:t>
      </w:r>
      <w:r>
        <w:t>comply</w:t>
      </w:r>
      <w:r>
        <w:rPr>
          <w:spacing w:val="-4"/>
        </w:rPr>
        <w:t xml:space="preserve"> </w:t>
      </w:r>
      <w:r>
        <w:t>with</w:t>
      </w:r>
      <w:r>
        <w:rPr>
          <w:spacing w:val="-4"/>
        </w:rPr>
        <w:t xml:space="preserve"> </w:t>
      </w:r>
      <w:r>
        <w:t>these</w:t>
      </w:r>
      <w:r>
        <w:rPr>
          <w:spacing w:val="-4"/>
        </w:rPr>
        <w:t xml:space="preserve"> </w:t>
      </w:r>
      <w:r>
        <w:t>federal</w:t>
      </w:r>
      <w:r>
        <w:rPr>
          <w:spacing w:val="-4"/>
        </w:rPr>
        <w:t xml:space="preserve"> </w:t>
      </w:r>
      <w:r>
        <w:t>constitutional</w:t>
      </w:r>
      <w:r>
        <w:rPr>
          <w:spacing w:val="-4"/>
        </w:rPr>
        <w:t xml:space="preserve"> </w:t>
      </w:r>
      <w:r>
        <w:t>limits,</w:t>
      </w:r>
      <w:r>
        <w:rPr>
          <w:spacing w:val="-4"/>
        </w:rPr>
        <w:t xml:space="preserve"> </w:t>
      </w:r>
      <w:r>
        <w:t>but</w:t>
      </w:r>
      <w:r>
        <w:rPr>
          <w:spacing w:val="-4"/>
        </w:rPr>
        <w:t xml:space="preserve"> </w:t>
      </w:r>
      <w:r>
        <w:t>modifications may be necessary to comply with any more restrictive state constitutional doctrines.</w:t>
      </w:r>
    </w:p>
    <w:p w14:paraId="2DE5717C" w14:textId="77777777" w:rsidR="00D650AF" w:rsidRDefault="00D650AF">
      <w:pPr>
        <w:pStyle w:val="BodyText"/>
        <w:rPr>
          <w:sz w:val="20"/>
        </w:rPr>
      </w:pPr>
    </w:p>
    <w:p w14:paraId="563F70CC" w14:textId="77777777" w:rsidR="00D650AF" w:rsidRDefault="00D650AF">
      <w:pPr>
        <w:pStyle w:val="BodyText"/>
        <w:rPr>
          <w:sz w:val="20"/>
        </w:rPr>
      </w:pPr>
    </w:p>
    <w:p w14:paraId="5AD71847" w14:textId="77777777" w:rsidR="00D650AF" w:rsidRDefault="00D650AF">
      <w:pPr>
        <w:pStyle w:val="BodyText"/>
        <w:rPr>
          <w:sz w:val="20"/>
        </w:rPr>
      </w:pPr>
    </w:p>
    <w:p w14:paraId="08CB314A" w14:textId="77777777" w:rsidR="00D650AF" w:rsidRDefault="00D650AF">
      <w:pPr>
        <w:pStyle w:val="BodyText"/>
        <w:rPr>
          <w:sz w:val="20"/>
        </w:rPr>
      </w:pPr>
    </w:p>
    <w:p w14:paraId="762EA105" w14:textId="77777777" w:rsidR="00D650AF" w:rsidRDefault="00D650AF">
      <w:pPr>
        <w:pStyle w:val="BodyText"/>
        <w:rPr>
          <w:sz w:val="20"/>
        </w:rPr>
      </w:pPr>
    </w:p>
    <w:p w14:paraId="75E44568" w14:textId="77777777" w:rsidR="00D650AF" w:rsidRDefault="00D650AF">
      <w:pPr>
        <w:pStyle w:val="BodyText"/>
        <w:rPr>
          <w:sz w:val="20"/>
        </w:rPr>
      </w:pPr>
    </w:p>
    <w:p w14:paraId="5147AC14" w14:textId="77777777" w:rsidR="00D650AF" w:rsidRDefault="00D650AF">
      <w:pPr>
        <w:pStyle w:val="BodyText"/>
        <w:rPr>
          <w:sz w:val="20"/>
        </w:rPr>
      </w:pPr>
    </w:p>
    <w:p w14:paraId="45A15A80" w14:textId="77777777" w:rsidR="00D650AF" w:rsidRDefault="00D650AF">
      <w:pPr>
        <w:pStyle w:val="BodyText"/>
        <w:rPr>
          <w:sz w:val="20"/>
        </w:rPr>
      </w:pPr>
    </w:p>
    <w:p w14:paraId="5A19B52B" w14:textId="77777777" w:rsidR="00D650AF" w:rsidRDefault="00D650AF">
      <w:pPr>
        <w:pStyle w:val="BodyText"/>
        <w:rPr>
          <w:sz w:val="20"/>
        </w:rPr>
      </w:pPr>
    </w:p>
    <w:p w14:paraId="27481634" w14:textId="77777777" w:rsidR="00D650AF" w:rsidRDefault="00D650AF">
      <w:pPr>
        <w:pStyle w:val="BodyText"/>
        <w:rPr>
          <w:sz w:val="20"/>
        </w:rPr>
      </w:pPr>
    </w:p>
    <w:p w14:paraId="13888BBB" w14:textId="77777777" w:rsidR="00D650AF" w:rsidRDefault="00D650AF">
      <w:pPr>
        <w:pStyle w:val="BodyText"/>
        <w:rPr>
          <w:sz w:val="20"/>
        </w:rPr>
      </w:pPr>
    </w:p>
    <w:p w14:paraId="7865394E" w14:textId="77777777" w:rsidR="00D650AF" w:rsidRDefault="00D650AF">
      <w:pPr>
        <w:pStyle w:val="BodyText"/>
        <w:rPr>
          <w:sz w:val="20"/>
        </w:rPr>
      </w:pPr>
    </w:p>
    <w:p w14:paraId="5E546443" w14:textId="77777777" w:rsidR="00D650AF" w:rsidRDefault="00D650AF">
      <w:pPr>
        <w:pStyle w:val="BodyText"/>
        <w:rPr>
          <w:sz w:val="20"/>
        </w:rPr>
      </w:pPr>
    </w:p>
    <w:p w14:paraId="66975327" w14:textId="77777777" w:rsidR="00D650AF" w:rsidRDefault="00D650AF">
      <w:pPr>
        <w:pStyle w:val="BodyText"/>
        <w:rPr>
          <w:sz w:val="20"/>
        </w:rPr>
      </w:pPr>
    </w:p>
    <w:p w14:paraId="565DDFD3" w14:textId="77777777" w:rsidR="00D650AF" w:rsidRDefault="00D650AF">
      <w:pPr>
        <w:pStyle w:val="BodyText"/>
        <w:rPr>
          <w:sz w:val="20"/>
        </w:rPr>
      </w:pPr>
    </w:p>
    <w:p w14:paraId="6A6087A1" w14:textId="77777777" w:rsidR="00D650AF" w:rsidRDefault="00D650AF">
      <w:pPr>
        <w:pStyle w:val="BodyText"/>
        <w:rPr>
          <w:sz w:val="20"/>
        </w:rPr>
      </w:pPr>
    </w:p>
    <w:p w14:paraId="14400D7F" w14:textId="77777777" w:rsidR="00D650AF" w:rsidRDefault="00D650AF">
      <w:pPr>
        <w:pStyle w:val="BodyText"/>
        <w:rPr>
          <w:sz w:val="20"/>
        </w:rPr>
      </w:pPr>
    </w:p>
    <w:p w14:paraId="78528B16" w14:textId="77777777" w:rsidR="00D650AF" w:rsidRDefault="00D650AF">
      <w:pPr>
        <w:pStyle w:val="BodyText"/>
        <w:rPr>
          <w:sz w:val="20"/>
        </w:rPr>
      </w:pPr>
    </w:p>
    <w:p w14:paraId="11AED5EA" w14:textId="77777777" w:rsidR="00D650AF" w:rsidRDefault="00D650AF">
      <w:pPr>
        <w:pStyle w:val="BodyText"/>
        <w:rPr>
          <w:sz w:val="20"/>
        </w:rPr>
      </w:pPr>
    </w:p>
    <w:p w14:paraId="7B511C7D" w14:textId="77777777" w:rsidR="00D650AF" w:rsidRDefault="00D650AF">
      <w:pPr>
        <w:pStyle w:val="BodyText"/>
        <w:rPr>
          <w:sz w:val="20"/>
        </w:rPr>
      </w:pPr>
    </w:p>
    <w:p w14:paraId="71BEE73C" w14:textId="77777777" w:rsidR="00D650AF" w:rsidRDefault="00D650AF">
      <w:pPr>
        <w:pStyle w:val="BodyText"/>
        <w:rPr>
          <w:sz w:val="20"/>
        </w:rPr>
      </w:pPr>
    </w:p>
    <w:p w14:paraId="43B9E481" w14:textId="77777777" w:rsidR="00D650AF" w:rsidRDefault="00D650AF">
      <w:pPr>
        <w:pStyle w:val="BodyText"/>
        <w:rPr>
          <w:sz w:val="20"/>
        </w:rPr>
      </w:pPr>
    </w:p>
    <w:p w14:paraId="4D7FFE81" w14:textId="77777777" w:rsidR="00D650AF" w:rsidRDefault="00000000">
      <w:pPr>
        <w:pStyle w:val="BodyText"/>
        <w:spacing w:before="7"/>
        <w:rPr>
          <w:sz w:val="23"/>
        </w:rPr>
      </w:pPr>
      <w:r>
        <w:rPr>
          <w:noProof/>
        </w:rPr>
        <mc:AlternateContent>
          <mc:Choice Requires="wps">
            <w:drawing>
              <wp:anchor distT="0" distB="0" distL="0" distR="0" simplePos="0" relativeHeight="487590400" behindDoc="1" locked="0" layoutInCell="1" allowOverlap="1" wp14:anchorId="32C418DC" wp14:editId="27FA7D66">
                <wp:simplePos x="0" y="0"/>
                <wp:positionH relativeFrom="page">
                  <wp:posOffset>914400</wp:posOffset>
                </wp:positionH>
                <wp:positionV relativeFrom="paragraph">
                  <wp:posOffset>187971</wp:posOffset>
                </wp:positionV>
                <wp:extent cx="1828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C883B7" id="Graphic 6" o:spid="_x0000_s1026" style="position:absolute;margin-left:1in;margin-top:14.8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" path="m,l1828800,e" filled="f">
                <v:path arrowok="t"/>
                <w10:wrap type="topAndBottom" anchorx="page"/>
              </v:shape>
            </w:pict>
          </mc:Fallback>
        </mc:AlternateContent>
      </w:r>
    </w:p>
    <w:p w14:paraId="42538C4E" w14:textId="77777777" w:rsidR="00D650AF" w:rsidRDefault="00000000">
      <w:pPr>
        <w:spacing w:before="108"/>
        <w:ind w:left="100"/>
      </w:pPr>
      <w:r>
        <w:rPr>
          <w:rFonts w:ascii="Arial" w:hAnsi="Arial"/>
          <w:position w:val="8"/>
          <w:sz w:val="12"/>
        </w:rPr>
        <w:t>28</w:t>
      </w:r>
      <w:r>
        <w:rPr>
          <w:rFonts w:ascii="Arial" w:hAnsi="Arial"/>
          <w:spacing w:val="12"/>
          <w:position w:val="8"/>
          <w:sz w:val="12"/>
        </w:rPr>
        <w:t xml:space="preserve"> </w:t>
      </w:r>
      <w:r>
        <w:rPr>
          <w:i/>
        </w:rPr>
        <w:t>Nollan</w:t>
      </w:r>
      <w:r>
        <w:rPr>
          <w:i/>
          <w:spacing w:val="-7"/>
        </w:rPr>
        <w:t xml:space="preserve"> </w:t>
      </w:r>
      <w:r>
        <w:rPr>
          <w:i/>
        </w:rPr>
        <w:t>v.</w:t>
      </w:r>
      <w:r>
        <w:rPr>
          <w:i/>
          <w:spacing w:val="-7"/>
        </w:rPr>
        <w:t xml:space="preserve"> </w:t>
      </w:r>
      <w:r>
        <w:rPr>
          <w:i/>
        </w:rPr>
        <w:t>Cal.</w:t>
      </w:r>
      <w:r>
        <w:rPr>
          <w:i/>
          <w:spacing w:val="-7"/>
        </w:rPr>
        <w:t xml:space="preserve"> </w:t>
      </w:r>
      <w:r>
        <w:rPr>
          <w:i/>
        </w:rPr>
        <w:t>Coastal</w:t>
      </w:r>
      <w:r>
        <w:rPr>
          <w:i/>
          <w:spacing w:val="-7"/>
        </w:rPr>
        <w:t xml:space="preserve"> </w:t>
      </w:r>
      <w:r>
        <w:rPr>
          <w:i/>
        </w:rPr>
        <w:t>Comm’n</w:t>
      </w:r>
      <w:r>
        <w:t>,</w:t>
      </w:r>
      <w:r>
        <w:rPr>
          <w:spacing w:val="-7"/>
        </w:rPr>
        <w:t xml:space="preserve"> </w:t>
      </w:r>
      <w:r>
        <w:t>483</w:t>
      </w:r>
      <w:r>
        <w:rPr>
          <w:spacing w:val="-7"/>
        </w:rPr>
        <w:t xml:space="preserve"> </w:t>
      </w:r>
      <w:r>
        <w:t>U.S.</w:t>
      </w:r>
      <w:r>
        <w:rPr>
          <w:spacing w:val="-7"/>
        </w:rPr>
        <w:t xml:space="preserve"> </w:t>
      </w:r>
      <w:r>
        <w:t>825</w:t>
      </w:r>
      <w:r>
        <w:rPr>
          <w:spacing w:val="-7"/>
        </w:rPr>
        <w:t xml:space="preserve"> </w:t>
      </w:r>
      <w:r>
        <w:t>(1987);</w:t>
      </w:r>
      <w:r>
        <w:rPr>
          <w:spacing w:val="-7"/>
        </w:rPr>
        <w:t xml:space="preserve"> </w:t>
      </w:r>
      <w:r>
        <w:rPr>
          <w:i/>
        </w:rPr>
        <w:t>Dolan</w:t>
      </w:r>
      <w:r>
        <w:rPr>
          <w:i/>
          <w:spacing w:val="-7"/>
        </w:rPr>
        <w:t xml:space="preserve"> </w:t>
      </w:r>
      <w:r>
        <w:rPr>
          <w:i/>
        </w:rPr>
        <w:t>v.</w:t>
      </w:r>
      <w:r>
        <w:rPr>
          <w:i/>
          <w:spacing w:val="-7"/>
        </w:rPr>
        <w:t xml:space="preserve"> </w:t>
      </w:r>
      <w:r>
        <w:rPr>
          <w:i/>
        </w:rPr>
        <w:t>City</w:t>
      </w:r>
      <w:r>
        <w:rPr>
          <w:i/>
          <w:spacing w:val="-7"/>
        </w:rPr>
        <w:t xml:space="preserve"> </w:t>
      </w:r>
      <w:r>
        <w:rPr>
          <w:i/>
        </w:rPr>
        <w:t>of</w:t>
      </w:r>
      <w:r>
        <w:rPr>
          <w:i/>
          <w:spacing w:val="-6"/>
        </w:rPr>
        <w:t xml:space="preserve"> </w:t>
      </w:r>
      <w:r>
        <w:rPr>
          <w:i/>
        </w:rPr>
        <w:t>Tigard</w:t>
      </w:r>
      <w:r>
        <w:t>,</w:t>
      </w:r>
      <w:r>
        <w:rPr>
          <w:spacing w:val="-7"/>
        </w:rPr>
        <w:t xml:space="preserve"> </w:t>
      </w:r>
      <w:r>
        <w:t>512</w:t>
      </w:r>
      <w:r>
        <w:rPr>
          <w:spacing w:val="-7"/>
        </w:rPr>
        <w:t xml:space="preserve"> </w:t>
      </w:r>
      <w:r>
        <w:t>U.S.</w:t>
      </w:r>
      <w:r>
        <w:rPr>
          <w:spacing w:val="-7"/>
        </w:rPr>
        <w:t xml:space="preserve"> </w:t>
      </w:r>
      <w:r>
        <w:t>374</w:t>
      </w:r>
      <w:r>
        <w:rPr>
          <w:spacing w:val="-7"/>
        </w:rPr>
        <w:t xml:space="preserve"> </w:t>
      </w:r>
      <w:r>
        <w:rPr>
          <w:spacing w:val="-2"/>
        </w:rPr>
        <w:t>(1994).</w:t>
      </w:r>
    </w:p>
    <w:p w14:paraId="1A3A6654" w14:textId="77777777" w:rsidR="00D650AF" w:rsidRDefault="00000000">
      <w:pPr>
        <w:ind w:left="100"/>
      </w:pPr>
      <w:r>
        <w:rPr>
          <w:rFonts w:ascii="Arial"/>
          <w:vertAlign w:val="superscript"/>
        </w:rPr>
        <w:t>29</w:t>
      </w:r>
      <w:r>
        <w:rPr>
          <w:rFonts w:ascii="Arial"/>
          <w:spacing w:val="-9"/>
        </w:rPr>
        <w:t xml:space="preserve"> </w:t>
      </w:r>
      <w:r>
        <w:rPr>
          <w:i/>
        </w:rPr>
        <w:t>Koontz</w:t>
      </w:r>
      <w:r>
        <w:rPr>
          <w:i/>
          <w:spacing w:val="-7"/>
        </w:rPr>
        <w:t xml:space="preserve"> </w:t>
      </w:r>
      <w:r>
        <w:rPr>
          <w:i/>
        </w:rPr>
        <w:t>v.</w:t>
      </w:r>
      <w:r>
        <w:rPr>
          <w:i/>
          <w:spacing w:val="-7"/>
        </w:rPr>
        <w:t xml:space="preserve"> </w:t>
      </w:r>
      <w:r>
        <w:rPr>
          <w:i/>
        </w:rPr>
        <w:t>St.</w:t>
      </w:r>
      <w:r>
        <w:rPr>
          <w:i/>
          <w:spacing w:val="-8"/>
        </w:rPr>
        <w:t xml:space="preserve"> </w:t>
      </w:r>
      <w:r>
        <w:rPr>
          <w:i/>
        </w:rPr>
        <w:t>Johns</w:t>
      </w:r>
      <w:r>
        <w:rPr>
          <w:i/>
          <w:spacing w:val="-7"/>
        </w:rPr>
        <w:t xml:space="preserve"> </w:t>
      </w:r>
      <w:r>
        <w:rPr>
          <w:i/>
        </w:rPr>
        <w:t>River</w:t>
      </w:r>
      <w:r>
        <w:rPr>
          <w:i/>
          <w:spacing w:val="-8"/>
        </w:rPr>
        <w:t xml:space="preserve"> </w:t>
      </w:r>
      <w:r>
        <w:rPr>
          <w:i/>
        </w:rPr>
        <w:t>Water</w:t>
      </w:r>
      <w:r>
        <w:rPr>
          <w:i/>
          <w:spacing w:val="-7"/>
        </w:rPr>
        <w:t xml:space="preserve"> </w:t>
      </w:r>
      <w:r>
        <w:rPr>
          <w:i/>
        </w:rPr>
        <w:t>Mgmt.</w:t>
      </w:r>
      <w:r>
        <w:rPr>
          <w:i/>
          <w:spacing w:val="-7"/>
        </w:rPr>
        <w:t xml:space="preserve"> </w:t>
      </w:r>
      <w:r>
        <w:rPr>
          <w:i/>
        </w:rPr>
        <w:t>Dist</w:t>
      </w:r>
      <w:r>
        <w:t>.,</w:t>
      </w:r>
      <w:r>
        <w:rPr>
          <w:spacing w:val="-8"/>
        </w:rPr>
        <w:t xml:space="preserve"> </w:t>
      </w:r>
      <w:r>
        <w:t>570</w:t>
      </w:r>
      <w:r>
        <w:rPr>
          <w:spacing w:val="-7"/>
        </w:rPr>
        <w:t xml:space="preserve"> </w:t>
      </w:r>
      <w:r>
        <w:t>U.S.</w:t>
      </w:r>
      <w:r>
        <w:rPr>
          <w:spacing w:val="-7"/>
        </w:rPr>
        <w:t xml:space="preserve"> </w:t>
      </w:r>
      <w:r>
        <w:t>595,</w:t>
      </w:r>
      <w:r>
        <w:rPr>
          <w:spacing w:val="-8"/>
        </w:rPr>
        <w:t xml:space="preserve"> </w:t>
      </w:r>
      <w:r>
        <w:t>606</w:t>
      </w:r>
      <w:r>
        <w:rPr>
          <w:spacing w:val="-7"/>
        </w:rPr>
        <w:t xml:space="preserve"> </w:t>
      </w:r>
      <w:r>
        <w:rPr>
          <w:spacing w:val="-2"/>
        </w:rPr>
        <w:t>(2013).</w:t>
      </w:r>
    </w:p>
    <w:sectPr w:rsidR="00D650AF">
      <w:pgSz w:w="12240" w:h="15840"/>
      <w:pgMar w:top="13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79395D"/>
    <w:multiLevelType w:val="hybridMultilevel"/>
    <w:tmpl w:val="C20E08FE"/>
    <w:lvl w:ilvl="0" w:tplc="730E6210">
      <w:start w:val="1"/>
      <w:numFmt w:val="decimal"/>
      <w:lvlText w:val="%1."/>
      <w:lvlJc w:val="left"/>
      <w:pPr>
        <w:ind w:left="8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7D581CE4">
      <w:numFmt w:val="bullet"/>
      <w:lvlText w:val="•"/>
      <w:lvlJc w:val="left"/>
      <w:pPr>
        <w:ind w:left="1694" w:hanging="360"/>
      </w:pPr>
      <w:rPr>
        <w:rFonts w:hint="default"/>
        <w:lang w:val="en-US" w:eastAsia="en-US" w:bidi="ar-SA"/>
      </w:rPr>
    </w:lvl>
    <w:lvl w:ilvl="2" w:tplc="E0501752">
      <w:numFmt w:val="bullet"/>
      <w:lvlText w:val="•"/>
      <w:lvlJc w:val="left"/>
      <w:pPr>
        <w:ind w:left="2568" w:hanging="360"/>
      </w:pPr>
      <w:rPr>
        <w:rFonts w:hint="default"/>
        <w:lang w:val="en-US" w:eastAsia="en-US" w:bidi="ar-SA"/>
      </w:rPr>
    </w:lvl>
    <w:lvl w:ilvl="3" w:tplc="1B7A7B4E">
      <w:numFmt w:val="bullet"/>
      <w:lvlText w:val="•"/>
      <w:lvlJc w:val="left"/>
      <w:pPr>
        <w:ind w:left="3442" w:hanging="360"/>
      </w:pPr>
      <w:rPr>
        <w:rFonts w:hint="default"/>
        <w:lang w:val="en-US" w:eastAsia="en-US" w:bidi="ar-SA"/>
      </w:rPr>
    </w:lvl>
    <w:lvl w:ilvl="4" w:tplc="F76CA796">
      <w:numFmt w:val="bullet"/>
      <w:lvlText w:val="•"/>
      <w:lvlJc w:val="left"/>
      <w:pPr>
        <w:ind w:left="4316" w:hanging="360"/>
      </w:pPr>
      <w:rPr>
        <w:rFonts w:hint="default"/>
        <w:lang w:val="en-US" w:eastAsia="en-US" w:bidi="ar-SA"/>
      </w:rPr>
    </w:lvl>
    <w:lvl w:ilvl="5" w:tplc="C5FE56FC">
      <w:numFmt w:val="bullet"/>
      <w:lvlText w:val="•"/>
      <w:lvlJc w:val="left"/>
      <w:pPr>
        <w:ind w:left="5190" w:hanging="360"/>
      </w:pPr>
      <w:rPr>
        <w:rFonts w:hint="default"/>
        <w:lang w:val="en-US" w:eastAsia="en-US" w:bidi="ar-SA"/>
      </w:rPr>
    </w:lvl>
    <w:lvl w:ilvl="6" w:tplc="5740BE3A">
      <w:numFmt w:val="bullet"/>
      <w:lvlText w:val="•"/>
      <w:lvlJc w:val="left"/>
      <w:pPr>
        <w:ind w:left="6064" w:hanging="360"/>
      </w:pPr>
      <w:rPr>
        <w:rFonts w:hint="default"/>
        <w:lang w:val="en-US" w:eastAsia="en-US" w:bidi="ar-SA"/>
      </w:rPr>
    </w:lvl>
    <w:lvl w:ilvl="7" w:tplc="29028E48">
      <w:numFmt w:val="bullet"/>
      <w:lvlText w:val="•"/>
      <w:lvlJc w:val="left"/>
      <w:pPr>
        <w:ind w:left="6938" w:hanging="360"/>
      </w:pPr>
      <w:rPr>
        <w:rFonts w:hint="default"/>
        <w:lang w:val="en-US" w:eastAsia="en-US" w:bidi="ar-SA"/>
      </w:rPr>
    </w:lvl>
    <w:lvl w:ilvl="8" w:tplc="D7706090">
      <w:numFmt w:val="bullet"/>
      <w:lvlText w:val="•"/>
      <w:lvlJc w:val="left"/>
      <w:pPr>
        <w:ind w:left="7812" w:hanging="360"/>
      </w:pPr>
      <w:rPr>
        <w:rFonts w:hint="default"/>
        <w:lang w:val="en-US" w:eastAsia="en-US" w:bidi="ar-SA"/>
      </w:rPr>
    </w:lvl>
  </w:abstractNum>
  <w:num w:numId="1" w16cid:durableId="30339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AF"/>
    <w:rsid w:val="00C676AA"/>
    <w:rsid w:val="00D65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6E05"/>
  <w15:docId w15:val="{A068F3F0-83A3-4765-A16B-4FC79BDD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76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weact.org/wp-content/uploads/2023/05/Defining-EJ-Community-for-Mandatory-Emiss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althaffairs.org/doi/10.1377/hlthaff.2011.0153" TargetMode="External"/><Relationship Id="rId12" Type="http://schemas.openxmlformats.org/officeDocument/2006/relationships/hyperlink" Target="http://www.epa.gov/system/files/documents/2023-01/EJScreen%20Technical%20Documentation%20O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mantlingInjustice.org" TargetMode="External"/><Relationship Id="rId11" Type="http://schemas.openxmlformats.org/officeDocument/2006/relationships/hyperlink" Target="http://www.weact.org/wp-content/uploads/2023/05/Defining-EJ-Community-for-Mandatory-Emissions-" TargetMode="External"/><Relationship Id="rId5" Type="http://schemas.openxmlformats.org/officeDocument/2006/relationships/hyperlink" Target="https://lpdd.org/" TargetMode="External"/><Relationship Id="rId10" Type="http://schemas.openxmlformats.org/officeDocument/2006/relationships/hyperlink" Target="https://doi.org/10.2307/2675910" TargetMode="External"/><Relationship Id="rId4" Type="http://schemas.openxmlformats.org/officeDocument/2006/relationships/webSettings" Target="webSettings.xml"/><Relationship Id="rId9" Type="http://schemas.openxmlformats.org/officeDocument/2006/relationships/hyperlink" Target="http://www.epa.gov/system/files/documents/2022-09/Cumulative%20Impacts%20Research%20Final%25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3521</Words>
  <Characters>20073</Characters>
  <Application>Microsoft Office Word</Application>
  <DocSecurity>0</DocSecurity>
  <Lines>167</Lines>
  <Paragraphs>47</Paragraphs>
  <ScaleCrop>false</ScaleCrop>
  <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Eliminating As-Of-Right Status of Polluting Facilities in Environmental Justice Areas.docx</dc:title>
  <dc:creator>Jordan Gerow</dc:creator>
  <cp:lastModifiedBy>Jordan Gerow</cp:lastModifiedBy>
  <cp:revision>2</cp:revision>
  <dcterms:created xsi:type="dcterms:W3CDTF">2023-08-13T02:51:00Z</dcterms:created>
  <dcterms:modified xsi:type="dcterms:W3CDTF">2023-08-13T02:51:00Z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m117 Google Docs Renderer</vt:lpwstr>
  </property>
</Properties>
</file>